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3.png" ContentType="image/png"/>
  <Override PartName="/word/media/rId45.png" ContentType="image/png"/>
  <Override PartName="/word/media/rId47.png" ContentType="image/png"/>
  <Override PartName="/word/media/rId49.png" ContentType="image/png"/>
  <Override PartName="/word/media/rId51.png" ContentType="image/png"/>
  <Override PartName="/word/media/rId53.png" ContentType="image/png"/>
  <Override PartName="/word/media/rId55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23.png" ContentType="image/png"/>
  <Override PartName="/word/media/rId65.png" ContentType="image/png"/>
  <Override PartName="/word/media/rId67.png" ContentType="image/png"/>
  <Override PartName="/word/media/rId69.png" ContentType="image/png"/>
  <Override PartName="/word/media/rId71.png" ContentType="image/png"/>
  <Override PartName="/word/media/rId73.png" ContentType="image/png"/>
  <Override PartName="/word/media/rId75.png" ContentType="image/png"/>
  <Override PartName="/word/media/rId77.png" ContentType="image/png"/>
  <Override PartName="/word/media/rId79.png" ContentType="image/png"/>
  <Override PartName="/word/media/rId81.png" ContentType="image/png"/>
  <Override PartName="/word/media/rId26.png" ContentType="image/png"/>
  <Override PartName="/word/media/rId28.png" ContentType="image/png"/>
  <Override PartName="/word/media/rId31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статистическому</w:t>
      </w:r>
      <w:r>
        <w:t xml:space="preserve"> </w:t>
      </w:r>
      <w:r>
        <w:t xml:space="preserve">анализу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Студент:</w:t>
      </w:r>
      <w:r>
        <w:t xml:space="preserve"> </w:t>
      </w: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 алгебры.</w:t>
      </w:r>
    </w:p>
    <w:bookmarkEnd w:id="20"/>
    <w:bookmarkStart w:id="8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Xc28563639bee130e298f75fd93151139a0dd5dc"/>
    <w:p>
      <w:pPr>
        <w:pStyle w:val="Heading2"/>
      </w:pPr>
      <w:r>
        <w:t xml:space="preserve">Поэлементные операции над многомерными массивами</w:t>
      </w:r>
    </w:p>
    <w:p>
      <w:pPr>
        <w:pStyle w:val="FirstParagraph"/>
      </w:pPr>
      <w:r>
        <w:t xml:space="preserve">Для матрицы 4 × 3 рассмотрим поэлементные операции сложения и произведения её элементов:</w:t>
      </w:r>
    </w:p>
    <w:p>
      <w:pPr>
        <w:pStyle w:val="CaptionedFigure"/>
      </w:pPr>
      <w:bookmarkStart w:id="22" w:name="fig:001"/>
      <w:r>
        <w:drawing>
          <wp:inline>
            <wp:extent cx="5334000" cy="4403802"/>
            <wp:effectExtent b="0" l="0" r="0" t="0"/>
            <wp:docPr descr="Поэлементные операции сложения и произведения элементов матрицы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3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Поэлементные операции сложения и произведения элементов матрицы</w:t>
      </w:r>
    </w:p>
    <w:p>
      <w:pPr>
        <w:pStyle w:val="BodyText"/>
      </w:pPr>
      <w:r>
        <w:t xml:space="preserve">Для работы со средними значениями можно воспользоваться возможностями пакета Statistics:</w:t>
      </w:r>
    </w:p>
    <w:p>
      <w:pPr>
        <w:pStyle w:val="CaptionedFigure"/>
      </w:pPr>
      <w:bookmarkStart w:id="24" w:name="fig:002"/>
      <w:r>
        <w:drawing>
          <wp:inline>
            <wp:extent cx="5334000" cy="1981751"/>
            <wp:effectExtent b="0" l="0" r="0" t="0"/>
            <wp:docPr descr="Использование возможностей пакета Statistics для работы со средними значениями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Использование возможностей пакета Statistics для работы со средними значениями</w:t>
      </w:r>
    </w:p>
    <w:bookmarkEnd w:id="25"/>
    <w:bookmarkStart w:id="30" w:name="Xe71a3b7cf23fde2857c4c69b12515f71438b9aa"/>
    <w:p>
      <w:pPr>
        <w:pStyle w:val="Heading2"/>
      </w:pPr>
      <w:r>
        <w:t xml:space="preserve">Транспонирование, след, ранг, определитель и инверсия матрицы</w:t>
      </w:r>
    </w:p>
    <w:p>
      <w:pPr>
        <w:pStyle w:val="FirstParagraph"/>
      </w:pPr>
      <w:r>
        <w:t xml:space="preserve">Для выполнения таких операций над матрицами, как транспонирование, диагонализация, определение следа, ранга, определителя матрицы и т.п. можно воспользоваться библиотекой (пакетом) LinearAlgebra:</w:t>
      </w:r>
    </w:p>
    <w:p>
      <w:pPr>
        <w:pStyle w:val="CaptionedFigure"/>
      </w:pPr>
      <w:bookmarkStart w:id="27" w:name="fig:003"/>
      <w:r>
        <w:drawing>
          <wp:inline>
            <wp:extent cx="5334000" cy="3036079"/>
            <wp:effectExtent b="0" l="0" r="0" t="0"/>
            <wp:docPr descr="Использование библиотеки LinearAlgebra для выполнения определённых операций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6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Использование библиотеки LinearAlgebra для выполнения определённых операций</w:t>
      </w:r>
    </w:p>
    <w:p>
      <w:pPr>
        <w:pStyle w:val="CaptionedFigure"/>
      </w:pPr>
      <w:bookmarkStart w:id="29" w:name="fig:004"/>
      <w:r>
        <w:drawing>
          <wp:inline>
            <wp:extent cx="5334000" cy="2440983"/>
            <wp:effectExtent b="0" l="0" r="0" t="0"/>
            <wp:docPr descr="Использование библиотеки LinearAlgebra для выполнения определённых операций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0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Использование библиотеки LinearAlgebra для выполнения определённых операций</w:t>
      </w:r>
    </w:p>
    <w:bookmarkEnd w:id="30"/>
    <w:bookmarkStart w:id="35" w:name="Xd91d5cc23a5b4c7dd0e00c3f37738f394a8e13e"/>
    <w:p>
      <w:pPr>
        <w:pStyle w:val="Heading2"/>
      </w:pPr>
      <w:r>
        <w:t xml:space="preserve">Вычисление нормы векторов и матриц, повороты, вращения</w:t>
      </w:r>
    </w:p>
    <w:p>
      <w:pPr>
        <w:pStyle w:val="FirstParagraph"/>
      </w:pPr>
      <w:r>
        <w:t xml:space="preserve">Для вычисления нормы используется LinearAlgebra.norm(x):</w:t>
      </w:r>
    </w:p>
    <w:p>
      <w:pPr>
        <w:pStyle w:val="CaptionedFigure"/>
      </w:pPr>
      <w:bookmarkStart w:id="32" w:name="fig:005"/>
      <w:r>
        <w:drawing>
          <wp:inline>
            <wp:extent cx="5334000" cy="3308756"/>
            <wp:effectExtent b="0" l="0" r="0" t="0"/>
            <wp:docPr descr="Использование LinearAlgebra.norm(x)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8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Использование LinearAlgebra.norm(x)</w:t>
      </w:r>
    </w:p>
    <w:p>
      <w:pPr>
        <w:pStyle w:val="BodyText"/>
      </w:pPr>
      <w:r>
        <w:t xml:space="preserve">Вычислим нормы для двумерной матрицы:</w:t>
      </w:r>
    </w:p>
    <w:p>
      <w:pPr>
        <w:pStyle w:val="CaptionedFigure"/>
      </w:pPr>
      <w:bookmarkStart w:id="34" w:name="fig:006"/>
      <w:r>
        <w:drawing>
          <wp:inline>
            <wp:extent cx="5334000" cy="3866341"/>
            <wp:effectExtent b="0" l="0" r="0" t="0"/>
            <wp:docPr descr="Вычисление нормы для двумерной матрицы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6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Вычисление нормы для двумерной матрицы</w:t>
      </w:r>
    </w:p>
    <w:bookmarkEnd w:id="35"/>
    <w:bookmarkStart w:id="38" w:name="X5c7ba8ea9205f78450384725fbd8ae04a8a0851"/>
    <w:p>
      <w:pPr>
        <w:pStyle w:val="Heading2"/>
      </w:pPr>
      <w:r>
        <w:t xml:space="preserve">Матричное умножение, единичная матрица, скалярное произведение</w:t>
      </w:r>
    </w:p>
    <w:p>
      <w:pPr>
        <w:pStyle w:val="FirstParagraph"/>
      </w:pPr>
      <w:r>
        <w:t xml:space="preserve">Выполним примеры матричного умножения, единичной матрицы и скалярного произведения:</w:t>
      </w:r>
    </w:p>
    <w:p>
      <w:pPr>
        <w:pStyle w:val="CaptionedFigure"/>
      </w:pPr>
      <w:bookmarkStart w:id="37" w:name="fig:007"/>
      <w:r>
        <w:drawing>
          <wp:inline>
            <wp:extent cx="5334000" cy="3821083"/>
            <wp:effectExtent b="0" l="0" r="0" t="0"/>
            <wp:docPr descr="Примеры матричного умножения, единичной матрицы и скалярного произведения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1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Примеры матричного умножения, единичной матрицы и скалярного произведения</w:t>
      </w:r>
    </w:p>
    <w:bookmarkEnd w:id="38"/>
    <w:bookmarkStart w:id="59" w:name="Xc1b05fa6b627f0a61977718129e6f3db9a4d06a"/>
    <w:p>
      <w:pPr>
        <w:pStyle w:val="Heading2"/>
      </w:pPr>
      <w:r>
        <w:t xml:space="preserve">Факторизация. Специальные матричные структуры</w:t>
      </w:r>
    </w:p>
    <w:p>
      <w:pPr>
        <w:pStyle w:val="FirstParagraph"/>
      </w:pPr>
      <w:r>
        <w:t xml:space="preserve">Рассмотрим несколько примеров. Для работы со специальными матричными структурами потребуется пакет LinearAlgebra.</w:t>
      </w:r>
    </w:p>
    <w:p>
      <w:pPr>
        <w:pStyle w:val="BodyText"/>
      </w:pPr>
      <w:r>
        <w:t xml:space="preserve">Решение систем линейный алгебраических уравнений Ax = b:</w:t>
      </w:r>
    </w:p>
    <w:p>
      <w:pPr>
        <w:pStyle w:val="CaptionedFigure"/>
      </w:pPr>
      <w:bookmarkStart w:id="40" w:name="fig:008"/>
      <w:r>
        <w:drawing>
          <wp:inline>
            <wp:extent cx="5334000" cy="2900722"/>
            <wp:effectExtent b="0" l="0" r="0" t="0"/>
            <wp:docPr descr="Решение систем линейный алгебраических уравнений Ax = b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Решение систем линейный алгебраических уравнений Ax = b</w:t>
      </w:r>
    </w:p>
    <w:p>
      <w:pPr>
        <w:pStyle w:val="BodyText"/>
      </w:pPr>
      <w:r>
        <w:t xml:space="preserve">Julia позволяет вычислять LU-факторизацию и определяет составной тип факторизации для его хранения:</w:t>
      </w:r>
    </w:p>
    <w:p>
      <w:pPr>
        <w:pStyle w:val="CaptionedFigure"/>
      </w:pPr>
      <w:bookmarkStart w:id="42" w:name="fig:009"/>
      <w:r>
        <w:drawing>
          <wp:inline>
            <wp:extent cx="5334000" cy="4104554"/>
            <wp:effectExtent b="0" l="0" r="0" t="0"/>
            <wp:docPr descr="Пример вычисления LU-факторизации и определение составного типа факторизации для его хранения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Пример вычисления LU-факторизации и определение составного типа факторизации для его хранения</w:t>
      </w:r>
    </w:p>
    <w:p>
      <w:pPr>
        <w:pStyle w:val="BodyText"/>
      </w:pPr>
      <w:r>
        <w:t xml:space="preserve">Исходная система уравнений Ax = b может быть решена или с использованием исходной матрицы, или с использованием объекта факторизации:</w:t>
      </w:r>
    </w:p>
    <w:p>
      <w:pPr>
        <w:pStyle w:val="CaptionedFigure"/>
      </w:pPr>
      <w:bookmarkStart w:id="44" w:name="fig:010"/>
      <w:r>
        <w:drawing>
          <wp:inline>
            <wp:extent cx="5334000" cy="2304339"/>
            <wp:effectExtent b="0" l="0" r="0" t="0"/>
            <wp:docPr descr="Пример решения с использованием исходной матрицы и с использованием объекта факторизации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4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Пример решения с использованием исходной матрицы и с использованием объекта факторизации</w:t>
      </w:r>
    </w:p>
    <w:p>
      <w:pPr>
        <w:pStyle w:val="BodyText"/>
      </w:pPr>
      <w:r>
        <w:t xml:space="preserve">Julia позволяет вычислять QR-факторизацию и определяет составной тип факторизации для его хранения:</w:t>
      </w:r>
    </w:p>
    <w:p>
      <w:pPr>
        <w:pStyle w:val="CaptionedFigure"/>
      </w:pPr>
      <w:bookmarkStart w:id="46" w:name="fig:011"/>
      <w:r>
        <w:drawing>
          <wp:inline>
            <wp:extent cx="5334000" cy="2827662"/>
            <wp:effectExtent b="0" l="0" r="0" t="0"/>
            <wp:docPr descr="Пример вычисления QR-факторизации и определение составного типа факторизации для его хранения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7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Пример вычисления QR-факторизации и определение составного типа факторизации для его хранения</w:t>
      </w:r>
    </w:p>
    <w:p>
      <w:pPr>
        <w:pStyle w:val="BodyText"/>
      </w:pPr>
      <w:r>
        <w:t xml:space="preserve">Примеры собственной декомпозиции матрицы A:</w:t>
      </w:r>
    </w:p>
    <w:p>
      <w:pPr>
        <w:pStyle w:val="CaptionedFigure"/>
      </w:pPr>
      <w:bookmarkStart w:id="48" w:name="fig:012"/>
      <w:r>
        <w:drawing>
          <wp:inline>
            <wp:extent cx="5334000" cy="4138669"/>
            <wp:effectExtent b="0" l="0" r="0" t="0"/>
            <wp:docPr descr="Примеры собственной декомпозиции матрицы A" title="" id="1" name="Picture"/>
            <a:graphic>
              <a:graphicData uri="http://schemas.openxmlformats.org/drawingml/2006/picture">
                <pic:pic>
                  <pic:nvPicPr>
                    <pic:cNvPr descr="image/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8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Примеры собственной декомпозиции матрицы A</w:t>
      </w:r>
    </w:p>
    <w:p>
      <w:pPr>
        <w:pStyle w:val="BodyText"/>
      </w:pPr>
      <w:r>
        <w:t xml:space="preserve">Далее рассмотрим примеры работы с матрицами большой размерности и специальной структуры:</w:t>
      </w:r>
    </w:p>
    <w:p>
      <w:pPr>
        <w:pStyle w:val="CaptionedFigure"/>
      </w:pPr>
      <w:bookmarkStart w:id="50" w:name="fig:013"/>
      <w:r>
        <w:drawing>
          <wp:inline>
            <wp:extent cx="5334000" cy="5137384"/>
            <wp:effectExtent b="0" l="0" r="0" t="0"/>
            <wp:docPr descr="Примеры работы с матрицами большой размерности и специальной структуры" title="" id="1" name="Picture"/>
            <a:graphic>
              <a:graphicData uri="http://schemas.openxmlformats.org/drawingml/2006/picture">
                <pic:pic>
                  <pic:nvPicPr>
                    <pic:cNvPr descr="image/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Примеры работы с матрицами большой размерности и специальной структуры</w:t>
      </w:r>
    </w:p>
    <w:p>
      <w:pPr>
        <w:pStyle w:val="BodyText"/>
      </w:pPr>
      <w:r>
        <w:t xml:space="preserve">Пример добавления шума в симметричную матрицу (матрица уже не будет симметричной):</w:t>
      </w:r>
    </w:p>
    <w:p>
      <w:pPr>
        <w:pStyle w:val="CaptionedFigure"/>
      </w:pPr>
      <w:bookmarkStart w:id="52" w:name="fig:014"/>
      <w:r>
        <w:drawing>
          <wp:inline>
            <wp:extent cx="5334000" cy="1682361"/>
            <wp:effectExtent b="0" l="0" r="0" t="0"/>
            <wp:docPr descr="Пример добавления шума в симметричную матрицу" title="" id="1" name="Picture"/>
            <a:graphic>
              <a:graphicData uri="http://schemas.openxmlformats.org/drawingml/2006/picture">
                <pic:pic>
                  <pic:nvPicPr>
                    <pic:cNvPr descr="image/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2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Пример добавления шума в симметричную матрицу</w:t>
      </w:r>
    </w:p>
    <w:p>
      <w:pPr>
        <w:pStyle w:val="BodyText"/>
      </w:pPr>
      <w:r>
        <w:t xml:space="preserve">В Julia можно объявить структуру матрица явно, например, используя Diagonal, Triangular, Symmetric, Hermitian, Tridiagonal и SymTridiagonal:</w:t>
      </w:r>
    </w:p>
    <w:p>
      <w:pPr>
        <w:pStyle w:val="CaptionedFigure"/>
      </w:pPr>
      <w:bookmarkStart w:id="54" w:name="fig:015"/>
      <w:r>
        <w:drawing>
          <wp:inline>
            <wp:extent cx="5334000" cy="3112041"/>
            <wp:effectExtent b="0" l="0" r="0" t="0"/>
            <wp:docPr descr="Пример явного объявления структуры матрицы" title="" id="1" name="Picture"/>
            <a:graphic>
              <a:graphicData uri="http://schemas.openxmlformats.org/drawingml/2006/picture">
                <pic:pic>
                  <pic:nvPicPr>
                    <pic:cNvPr descr="image/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2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Пример явного объявления структуры матрицы</w:t>
      </w:r>
    </w:p>
    <w:p>
      <w:pPr>
        <w:pStyle w:val="BodyText"/>
      </w:pPr>
      <w:r>
        <w:t xml:space="preserve">Далее для оценки эффективности выполнения операций над матрицами большой размерности и специальной структуры воспользуемся пакетом BenchmarkTools:</w:t>
      </w:r>
    </w:p>
    <w:p>
      <w:pPr>
        <w:pStyle w:val="CaptionedFigure"/>
      </w:pPr>
      <w:bookmarkStart w:id="56" w:name="fig:016"/>
      <w:r>
        <w:drawing>
          <wp:inline>
            <wp:extent cx="5334000" cy="1937256"/>
            <wp:effectExtent b="0" l="0" r="0" t="0"/>
            <wp:docPr descr="Использование пакета BenchmarkTools" title="" id="1" name="Picture"/>
            <a:graphic>
              <a:graphicData uri="http://schemas.openxmlformats.org/drawingml/2006/picture">
                <pic:pic>
                  <pic:nvPicPr>
                    <pic:cNvPr descr="image/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7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Использование пакета BenchmarkTools</w:t>
      </w:r>
    </w:p>
    <w:p>
      <w:pPr>
        <w:pStyle w:val="BodyText"/>
      </w:pPr>
      <w:r>
        <w:t xml:space="preserve">Далее рассмотрим примеры работы с разряженными матрицами большой размерности.</w:t>
      </w:r>
    </w:p>
    <w:p>
      <w:pPr>
        <w:pStyle w:val="BodyText"/>
      </w:pPr>
      <w:r>
        <w:t xml:space="preserve">Использование типов Tridiagonal и SymTridiagonal для хранения трёхдиагональных матриц позволяет работать с потенциально очень большими трёхдиагональными матрицами:</w:t>
      </w:r>
    </w:p>
    <w:p>
      <w:pPr>
        <w:pStyle w:val="CaptionedFigure"/>
      </w:pPr>
      <w:bookmarkStart w:id="58" w:name="fig:017"/>
      <w:r>
        <w:drawing>
          <wp:inline>
            <wp:extent cx="5334000" cy="3928595"/>
            <wp:effectExtent b="0" l="0" r="0" t="0"/>
            <wp:docPr descr="Примеры работы с разряженными матрицами большой размерности" title="" id="1" name="Picture"/>
            <a:graphic>
              <a:graphicData uri="http://schemas.openxmlformats.org/drawingml/2006/picture">
                <pic:pic>
                  <pic:nvPicPr>
                    <pic:cNvPr descr="image/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8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Примеры работы с разряженными матрицами большой размерности</w:t>
      </w:r>
    </w:p>
    <w:bookmarkEnd w:id="59"/>
    <w:bookmarkStart w:id="62" w:name="общая-линейная-алгебра"/>
    <w:p>
      <w:pPr>
        <w:pStyle w:val="Heading2"/>
      </w:pPr>
      <w:r>
        <w:t xml:space="preserve">Общая линейная алгебра</w:t>
      </w:r>
    </w:p>
    <w:p>
      <w:pPr>
        <w:pStyle w:val="FirstParagraph"/>
      </w:pPr>
      <w:r>
        <w:t xml:space="preserve">В примере показано, как можно решить систему линейных уравнений с рациональными элементами без преобразования в типы элементов с плавающей запятой (для избежания проблемы с переполнением используем BigInt):</w:t>
      </w:r>
    </w:p>
    <w:p>
      <w:pPr>
        <w:pStyle w:val="CaptionedFigure"/>
      </w:pPr>
      <w:bookmarkStart w:id="61" w:name="fig:018"/>
      <w:r>
        <w:drawing>
          <wp:inline>
            <wp:extent cx="5334000" cy="4786923"/>
            <wp:effectExtent b="0" l="0" r="0" t="0"/>
            <wp:docPr descr="Решение системы линейных уравнений с рациональными элементами без преобразования в типы элементов с плавающей запятой" title="" id="1" name="Picture"/>
            <a:graphic>
              <a:graphicData uri="http://schemas.openxmlformats.org/drawingml/2006/picture">
                <pic:pic>
                  <pic:nvPicPr>
                    <pic:cNvPr descr="image/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Решение системы линейных уравнений с рациональными элементами без преобразования в типы элементов с плавающей запятой</w:t>
      </w:r>
    </w:p>
    <w:bookmarkEnd w:id="62"/>
    <w:bookmarkStart w:id="83" w:name="самостоятельная-работа"/>
    <w:p>
      <w:pPr>
        <w:pStyle w:val="Heading2"/>
      </w:pPr>
      <w:r>
        <w:t xml:space="preserve">Самостоятельная работа</w:t>
      </w:r>
    </w:p>
    <w:p>
      <w:pPr>
        <w:pStyle w:val="FirstParagraph"/>
      </w:pPr>
      <w:r>
        <w:t xml:space="preserve">Выполнение задания</w:t>
      </w:r>
      <w:r>
        <w:t xml:space="preserve"> </w:t>
      </w:r>
      <w:r>
        <w:t xml:space="preserve">“</w:t>
      </w:r>
      <w:r>
        <w:t xml:space="preserve">Произведение векторов</w:t>
      </w:r>
      <w:r>
        <w:t xml:space="preserve">”</w:t>
      </w:r>
      <w:r>
        <w:t xml:space="preserve">:</w:t>
      </w:r>
    </w:p>
    <w:p>
      <w:pPr>
        <w:pStyle w:val="CaptionedFigure"/>
      </w:pPr>
      <w:bookmarkStart w:id="64" w:name="fig:019"/>
      <w:r>
        <w:drawing>
          <wp:inline>
            <wp:extent cx="5334000" cy="1873057"/>
            <wp:effectExtent b="0" l="0" r="0" t="0"/>
            <wp:docPr descr="Решение задания “Произведение векторов”" title="" id="1" name="Picture"/>
            <a:graphic>
              <a:graphicData uri="http://schemas.openxmlformats.org/drawingml/2006/picture">
                <pic:pic>
                  <pic:nvPicPr>
                    <pic:cNvPr descr="image/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3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Решение задания</w:t>
      </w:r>
      <w:r>
        <w:t xml:space="preserve"> </w:t>
      </w:r>
      <w:r>
        <w:t xml:space="preserve">“</w:t>
      </w:r>
      <w:r>
        <w:t xml:space="preserve">Произведение векторов</w:t>
      </w:r>
      <w:r>
        <w:t xml:space="preserve">”</w:t>
      </w:r>
    </w:p>
    <w:p>
      <w:pPr>
        <w:pStyle w:val="BodyText"/>
      </w:pPr>
      <w:r>
        <w:t xml:space="preserve">Выполнение задания</w:t>
      </w:r>
      <w:r>
        <w:t xml:space="preserve"> </w:t>
      </w:r>
      <w:r>
        <w:t xml:space="preserve">“</w:t>
      </w:r>
      <w:r>
        <w:t xml:space="preserve">Системы линейных уравнений</w:t>
      </w:r>
      <w:r>
        <w:t xml:space="preserve">”</w:t>
      </w:r>
      <w:r>
        <w:t xml:space="preserve">:</w:t>
      </w:r>
    </w:p>
    <w:p>
      <w:pPr>
        <w:pStyle w:val="CaptionedFigure"/>
      </w:pPr>
      <w:bookmarkStart w:id="66" w:name="fig:020"/>
      <w:r>
        <w:drawing>
          <wp:inline>
            <wp:extent cx="5334000" cy="4906777"/>
            <wp:effectExtent b="0" l="0" r="0" t="0"/>
            <wp:docPr descr="Решение задания “Системы линейных уравнений”" title="" id="1" name="Picture"/>
            <a:graphic>
              <a:graphicData uri="http://schemas.openxmlformats.org/drawingml/2006/picture">
                <pic:pic>
                  <pic:nvPicPr>
                    <pic:cNvPr descr="image/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6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Решение задания</w:t>
      </w:r>
      <w:r>
        <w:t xml:space="preserve"> </w:t>
      </w:r>
      <w:r>
        <w:t xml:space="preserve">“</w:t>
      </w:r>
      <w:r>
        <w:t xml:space="preserve">Системы линейных уравнений</w:t>
      </w:r>
      <w:r>
        <w:t xml:space="preserve">”</w:t>
      </w:r>
    </w:p>
    <w:p>
      <w:pPr>
        <w:pStyle w:val="CaptionedFigure"/>
      </w:pPr>
      <w:bookmarkStart w:id="68" w:name="fig:021"/>
      <w:r>
        <w:drawing>
          <wp:inline>
            <wp:extent cx="5334000" cy="3528742"/>
            <wp:effectExtent b="0" l="0" r="0" t="0"/>
            <wp:docPr descr="Решение задания “Системы линейных уравнений”" title="" id="1" name="Picture"/>
            <a:graphic>
              <a:graphicData uri="http://schemas.openxmlformats.org/drawingml/2006/picture">
                <pic:pic>
                  <pic:nvPicPr>
                    <pic:cNvPr descr="image/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Решение задания</w:t>
      </w:r>
      <w:r>
        <w:t xml:space="preserve"> </w:t>
      </w:r>
      <w:r>
        <w:t xml:space="preserve">“</w:t>
      </w:r>
      <w:r>
        <w:t xml:space="preserve">Системы линейных уравнений</w:t>
      </w:r>
      <w:r>
        <w:t xml:space="preserve">”</w:t>
      </w:r>
    </w:p>
    <w:p>
      <w:pPr>
        <w:pStyle w:val="BodyText"/>
      </w:pPr>
      <w:r>
        <w:t xml:space="preserve">Выполнение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  <w:r>
        <w:t xml:space="preserve">:</w:t>
      </w:r>
    </w:p>
    <w:p>
      <w:pPr>
        <w:pStyle w:val="CaptionedFigure"/>
      </w:pPr>
      <w:bookmarkStart w:id="70" w:name="fig:022"/>
      <w:r>
        <w:drawing>
          <wp:inline>
            <wp:extent cx="5334000" cy="3426690"/>
            <wp:effectExtent b="0" l="0" r="0" t="0"/>
            <wp:docPr descr="Решение задания “Операции с матрицами”" title="" id="1" name="Picture"/>
            <a:graphic>
              <a:graphicData uri="http://schemas.openxmlformats.org/drawingml/2006/picture">
                <pic:pic>
                  <pic:nvPicPr>
                    <pic:cNvPr descr="image/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Решение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</w:p>
    <w:p>
      <w:pPr>
        <w:pStyle w:val="CaptionedFigure"/>
      </w:pPr>
      <w:bookmarkStart w:id="72" w:name="fig:023"/>
      <w:r>
        <w:drawing>
          <wp:inline>
            <wp:extent cx="5334000" cy="2149135"/>
            <wp:effectExtent b="0" l="0" r="0" t="0"/>
            <wp:docPr descr="Решение задания “Операции с матрицами”" title="" id="1" name="Picture"/>
            <a:graphic>
              <a:graphicData uri="http://schemas.openxmlformats.org/drawingml/2006/picture">
                <pic:pic>
                  <pic:nvPicPr>
                    <pic:cNvPr descr="image/2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Решение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</w:p>
    <w:p>
      <w:pPr>
        <w:pStyle w:val="CaptionedFigure"/>
      </w:pPr>
      <w:bookmarkStart w:id="74" w:name="fig:024"/>
      <w:r>
        <w:drawing>
          <wp:inline>
            <wp:extent cx="5334000" cy="4042885"/>
            <wp:effectExtent b="0" l="0" r="0" t="0"/>
            <wp:docPr descr="Решение задания “Операции с матрицами”" title="" id="1" name="Picture"/>
            <a:graphic>
              <a:graphicData uri="http://schemas.openxmlformats.org/drawingml/2006/picture">
                <pic:pic>
                  <pic:nvPicPr>
                    <pic:cNvPr descr="image/2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2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Решение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</w:p>
    <w:p>
      <w:pPr>
        <w:pStyle w:val="CaptionedFigure"/>
      </w:pPr>
      <w:bookmarkStart w:id="76" w:name="fig:025"/>
      <w:r>
        <w:drawing>
          <wp:inline>
            <wp:extent cx="5334000" cy="3795095"/>
            <wp:effectExtent b="0" l="0" r="0" t="0"/>
            <wp:docPr descr="Решение задания “Операции с матрицами”" title="" id="1" name="Picture"/>
            <a:graphic>
              <a:graphicData uri="http://schemas.openxmlformats.org/drawingml/2006/picture">
                <pic:pic>
                  <pic:nvPicPr>
                    <pic:cNvPr descr="image/2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5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Решение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</w:p>
    <w:p>
      <w:pPr>
        <w:pStyle w:val="CaptionedFigure"/>
      </w:pPr>
      <w:bookmarkStart w:id="78" w:name="fig:026"/>
      <w:r>
        <w:drawing>
          <wp:inline>
            <wp:extent cx="5334000" cy="3298318"/>
            <wp:effectExtent b="0" l="0" r="0" t="0"/>
            <wp:docPr descr="Решение задания “Операции с матрицами”" title="" id="1" name="Picture"/>
            <a:graphic>
              <a:graphicData uri="http://schemas.openxmlformats.org/drawingml/2006/picture">
                <pic:pic>
                  <pic:nvPicPr>
                    <pic:cNvPr descr="image/2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Решение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</w:p>
    <w:p>
      <w:pPr>
        <w:pStyle w:val="CaptionedFigure"/>
      </w:pPr>
      <w:bookmarkStart w:id="80" w:name="fig:027"/>
      <w:r>
        <w:drawing>
          <wp:inline>
            <wp:extent cx="5334000" cy="4817188"/>
            <wp:effectExtent b="0" l="0" r="0" t="0"/>
            <wp:docPr descr="Решение задания “Операции с матрицами”" title="" id="1" name="Picture"/>
            <a:graphic>
              <a:graphicData uri="http://schemas.openxmlformats.org/drawingml/2006/picture">
                <pic:pic>
                  <pic:nvPicPr>
                    <pic:cNvPr descr="image/2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7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Решение задания</w:t>
      </w:r>
      <w:r>
        <w:t xml:space="preserve"> </w:t>
      </w:r>
      <w:r>
        <w:t xml:space="preserve">“</w:t>
      </w:r>
      <w:r>
        <w:t xml:space="preserve">Операции с матрицами</w:t>
      </w:r>
      <w:r>
        <w:t xml:space="preserve">”</w:t>
      </w:r>
    </w:p>
    <w:p>
      <w:pPr>
        <w:pStyle w:val="BodyText"/>
      </w:pPr>
      <w:r>
        <w:t xml:space="preserve">Выполнение задания</w:t>
      </w:r>
      <w:r>
        <w:t xml:space="preserve"> </w:t>
      </w:r>
      <w:r>
        <w:t xml:space="preserve">“</w:t>
      </w:r>
      <w:r>
        <w:t xml:space="preserve">Линейные модели экономики</w:t>
      </w:r>
      <w:r>
        <w:t xml:space="preserve">”</w:t>
      </w:r>
      <w:r>
        <w:t xml:space="preserve">:</w:t>
      </w:r>
    </w:p>
    <w:p>
      <w:pPr>
        <w:pStyle w:val="CaptionedFigure"/>
      </w:pPr>
      <w:bookmarkStart w:id="82" w:name="fig:028"/>
      <w:r>
        <w:drawing>
          <wp:inline>
            <wp:extent cx="5334000" cy="4595642"/>
            <wp:effectExtent b="0" l="0" r="0" t="0"/>
            <wp:docPr descr="Решение задания “Линейные модели экономики”" title="" id="1" name="Picture"/>
            <a:graphic>
              <a:graphicData uri="http://schemas.openxmlformats.org/drawingml/2006/picture">
                <pic:pic>
                  <pic:nvPicPr>
                    <pic:cNvPr descr="image/2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Решение задания</w:t>
      </w:r>
      <w:r>
        <w:t xml:space="preserve"> </w:t>
      </w:r>
      <w:r>
        <w:t xml:space="preserve">“</w:t>
      </w:r>
      <w:r>
        <w:t xml:space="preserve">Линейные модели экономики</w:t>
      </w:r>
      <w:r>
        <w:t xml:space="preserve">”</w:t>
      </w:r>
    </w:p>
    <w:bookmarkEnd w:id="83"/>
    <w:bookmarkEnd w:id="84"/>
    <w:bookmarkStart w:id="8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возможности специализированных пакетов Julia для выполнения и оценки эффективности операций над объектами линейной алгебры.</w:t>
      </w:r>
    </w:p>
    <w:bookmarkEnd w:id="85"/>
    <w:bookmarkStart w:id="86" w:name="список-литературы.-библиография"/>
    <w:p>
      <w:pPr>
        <w:pStyle w:val="Heading1"/>
      </w:pPr>
      <w:r>
        <w:t xml:space="preserve">Список литературы. Библиография</w:t>
      </w:r>
    </w:p>
    <w:p>
      <w:pPr>
        <w:pStyle w:val="FirstParagraph"/>
      </w:pPr>
      <w:r>
        <w:t xml:space="preserve">[1] Julia Documentation: https://docs.julialang.org/en/v1/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1" Target="media/rId51.png" /><Relationship Type="http://schemas.openxmlformats.org/officeDocument/2006/relationships/image" Id="rId53" Target="media/rId53.png" /><Relationship Type="http://schemas.openxmlformats.org/officeDocument/2006/relationships/image" Id="rId55" Target="media/rId55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23" Target="media/rId23.png" /><Relationship Type="http://schemas.openxmlformats.org/officeDocument/2006/relationships/image" Id="rId65" Target="media/rId65.png" /><Relationship Type="http://schemas.openxmlformats.org/officeDocument/2006/relationships/image" Id="rId67" Target="media/rId67.png" /><Relationship Type="http://schemas.openxmlformats.org/officeDocument/2006/relationships/image" Id="rId69" Target="media/rId69.png" /><Relationship Type="http://schemas.openxmlformats.org/officeDocument/2006/relationships/image" Id="rId71" Target="media/rId71.png" /><Relationship Type="http://schemas.openxmlformats.org/officeDocument/2006/relationships/image" Id="rId73" Target="media/rId73.png" /><Relationship Type="http://schemas.openxmlformats.org/officeDocument/2006/relationships/image" Id="rId75" Target="media/rId75.png" /><Relationship Type="http://schemas.openxmlformats.org/officeDocument/2006/relationships/image" Id="rId77" Target="media/rId77.png" /><Relationship Type="http://schemas.openxmlformats.org/officeDocument/2006/relationships/image" Id="rId79" Target="media/rId79.png" /><Relationship Type="http://schemas.openxmlformats.org/officeDocument/2006/relationships/image" Id="rId81" Target="media/rId81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Студент: Кузнецова София Вадимовна</dc:creator>
  <dc:language>ru-RU</dc:language>
  <cp:keywords/>
  <dcterms:created xsi:type="dcterms:W3CDTF">2025-10-24T22:02:41Z</dcterms:created>
  <dcterms:modified xsi:type="dcterms:W3CDTF">2025-10-24T22:02:41Z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Компьютерный практикум по статистическому анализу данных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