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4.png" ContentType="image/png"/>
  <Override PartName="/word/media/rId56.png" ContentType="image/png"/>
  <Override PartName="/word/media/rId58.png" ContentType="image/png"/>
  <Override PartName="/word/media/rId60.png" ContentType="image/png"/>
  <Override PartName="/word/media/rId62.png" ContentType="image/png"/>
  <Override PartName="/word/media/rId24.png" ContentType="image/png"/>
  <Override PartName="/word/media/rId64.png" ContentType="image/png"/>
  <Override PartName="/word/media/rId66.png" ContentType="image/png"/>
  <Override PartName="/word/media/rId68.png" ContentType="image/png"/>
  <Override PartName="/word/media/rId70.png" ContentType="image/png"/>
  <Override PartName="/word/media/rId27.png" ContentType="image/png"/>
  <Override PartName="/word/media/rId30.png" ContentType="image/png"/>
  <Override PartName="/word/media/rId32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Структуры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несколько структур данных, реализованных в Julia, научиться применять их и операции над ними для решения задач.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Рассмотрим несколько структур данных, реализованных в Julia.</w:t>
      </w:r>
      <w:r>
        <w:t xml:space="preserve"> </w:t>
      </w:r>
      <w:r>
        <w:t xml:space="preserve">Несколько функций (методов), общих для всех структур данных:</w:t>
      </w:r>
      <w:r>
        <w:t xml:space="preserve"> </w:t>
      </w:r>
      <w:r>
        <w:t xml:space="preserve">– isempty() — проверяет, пуста ли структура данных;</w:t>
      </w:r>
      <w:r>
        <w:t xml:space="preserve"> </w:t>
      </w:r>
      <w:r>
        <w:t xml:space="preserve">– length() — возвращает длину структуры данных;</w:t>
      </w:r>
      <w:r>
        <w:t xml:space="preserve"> </w:t>
      </w:r>
      <w:r>
        <w:t xml:space="preserve">– in() — проверяет принадлежность элемента к структуре;</w:t>
      </w:r>
      <w:r>
        <w:t xml:space="preserve"> </w:t>
      </w:r>
      <w:r>
        <w:t xml:space="preserve">– unique() — возвращает коллекцию уникальных элементов структуры,</w:t>
      </w:r>
      <w:r>
        <w:t xml:space="preserve"> </w:t>
      </w:r>
      <w:r>
        <w:t xml:space="preserve">– reduce() — свёртывает структуру данных в соответствии с заданным бинарным оператором;</w:t>
      </w:r>
      <w:r>
        <w:t xml:space="preserve"> </w:t>
      </w:r>
      <w:r>
        <w:t xml:space="preserve">– maximum() (или minimum()) — возвращает наибольший (или наименьший) результат вызова функции для каждого элемента структуры данных.</w:t>
      </w:r>
    </w:p>
    <w:bookmarkEnd w:id="21"/>
    <w:bookmarkStart w:id="7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кортежи"/>
    <w:p>
      <w:pPr>
        <w:pStyle w:val="Heading2"/>
      </w:pPr>
      <w:r>
        <w:t xml:space="preserve">Кортежи</w:t>
      </w:r>
    </w:p>
    <w:p>
      <w:pPr>
        <w:pStyle w:val="FirstParagraph"/>
      </w:pPr>
      <w:r>
        <w:t xml:space="preserve">Кортеж (Tuple) — структура данных (контейнер) в виде неизменяемой индексируемой последовательности элементов какого-либо типа (элементы индексируются с единицы).</w:t>
      </w:r>
      <w:r>
        <w:t xml:space="preserve"> </w:t>
      </w:r>
      <w:r>
        <w:t xml:space="preserve">Синтаксис определения кортежа:</w:t>
      </w:r>
      <w:r>
        <w:t xml:space="preserve"> </w:t>
      </w:r>
      <w:r>
        <w:t xml:space="preserve">(element1, element2, …)</w:t>
      </w:r>
    </w:p>
    <w:p>
      <w:pPr>
        <w:pStyle w:val="BodyText"/>
      </w:pPr>
      <w:r>
        <w:t xml:space="preserve">Примеры кортежей:</w:t>
      </w:r>
    </w:p>
    <w:p>
      <w:pPr>
        <w:pStyle w:val="CaptionedFigure"/>
      </w:pPr>
      <w:bookmarkStart w:id="23" w:name="fig-001"/>
      <w:r>
        <w:drawing>
          <wp:inline>
            <wp:extent cx="5334000" cy="3172326"/>
            <wp:effectExtent b="0" l="0" r="0" t="0"/>
            <wp:docPr descr="Примеры кортежей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Примеры кортежей</w:t>
      </w:r>
    </w:p>
    <w:p>
      <w:pPr>
        <w:pStyle w:val="BodyText"/>
      </w:pPr>
      <w:r>
        <w:t xml:space="preserve">Примеры операций над кортежами:</w:t>
      </w:r>
    </w:p>
    <w:p>
      <w:pPr>
        <w:pStyle w:val="CaptionedFigure"/>
      </w:pPr>
      <w:bookmarkStart w:id="25" w:name="fig-002"/>
      <w:r>
        <w:drawing>
          <wp:inline>
            <wp:extent cx="5334000" cy="3342364"/>
            <wp:effectExtent b="0" l="0" r="0" t="0"/>
            <wp:docPr descr="Примеры операция над кортежами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Примеры операция над кортежами</w:t>
      </w:r>
    </w:p>
    <w:bookmarkEnd w:id="26"/>
    <w:bookmarkStart w:id="29" w:name="словари"/>
    <w:p>
      <w:pPr>
        <w:pStyle w:val="Heading2"/>
      </w:pPr>
      <w:r>
        <w:t xml:space="preserve">Словари</w:t>
      </w:r>
    </w:p>
    <w:p>
      <w:pPr>
        <w:pStyle w:val="FirstParagraph"/>
      </w:pPr>
      <w:r>
        <w:t xml:space="preserve">Словарь — неупорядоченный набор связанных между собой по ключу данных.</w:t>
      </w:r>
      <w:r>
        <w:t xml:space="preserve"> </w:t>
      </w:r>
      <w:r>
        <w:t xml:space="preserve">Синтаксис определения словаря:</w:t>
      </w:r>
      <w:r>
        <w:t xml:space="preserve"> </w:t>
      </w:r>
      <w:r>
        <w:t xml:space="preserve">Dict(key1 =&gt; value1, key2 =&gt; value2, …)</w:t>
      </w:r>
    </w:p>
    <w:p>
      <w:pPr>
        <w:pStyle w:val="BodyText"/>
      </w:pPr>
      <w:r>
        <w:t xml:space="preserve">Примеры словарей и операций над ними:</w:t>
      </w:r>
    </w:p>
    <w:p>
      <w:pPr>
        <w:pStyle w:val="CaptionedFigure"/>
      </w:pPr>
      <w:bookmarkStart w:id="28" w:name="fig-003"/>
      <w:r>
        <w:drawing>
          <wp:inline>
            <wp:extent cx="5334000" cy="4914679"/>
            <wp:effectExtent b="0" l="0" r="0" t="0"/>
            <wp:docPr descr="Примеры словарей и операций над ними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Примеры словарей и операций над ними</w:t>
      </w:r>
    </w:p>
    <w:bookmarkEnd w:id="29"/>
    <w:bookmarkStart w:id="34" w:name="множества"/>
    <w:p>
      <w:pPr>
        <w:pStyle w:val="Heading2"/>
      </w:pPr>
      <w:r>
        <w:t xml:space="preserve">Множества</w:t>
      </w:r>
    </w:p>
    <w:p>
      <w:pPr>
        <w:pStyle w:val="FirstParagraph"/>
      </w:pPr>
      <w:r>
        <w:t xml:space="preserve"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 типа. Возможные операции над множествами: объединение, пересечение, разность; принадлежность элемента множеству.</w:t>
      </w:r>
      <w:r>
        <w:t xml:space="preserve"> </w:t>
      </w:r>
      <w:r>
        <w:t xml:space="preserve">Синтаксис определения множества:</w:t>
      </w:r>
      <w:r>
        <w:t xml:space="preserve"> </w:t>
      </w:r>
      <w:r>
        <w:t xml:space="preserve">Set([itr])</w:t>
      </w:r>
      <w:r>
        <w:t xml:space="preserve"> </w:t>
      </w:r>
      <w:r>
        <w:t xml:space="preserve">где itr — набор значений, сгенерированных данным итерируемым объектом или пустое множество.</w:t>
      </w:r>
    </w:p>
    <w:p>
      <w:pPr>
        <w:pStyle w:val="BodyText"/>
      </w:pPr>
      <w:r>
        <w:t xml:space="preserve">Примеры множеств и операций над ними:</w:t>
      </w:r>
    </w:p>
    <w:p>
      <w:pPr>
        <w:pStyle w:val="CaptionedFigure"/>
      </w:pPr>
      <w:bookmarkStart w:id="31" w:name="fig-004"/>
      <w:r>
        <w:drawing>
          <wp:inline>
            <wp:extent cx="5334000" cy="3016468"/>
            <wp:effectExtent b="0" l="0" r="0" t="0"/>
            <wp:docPr descr="Примеры множеств и операций над ними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Примеры множеств и операций над ними</w:t>
      </w:r>
    </w:p>
    <w:p>
      <w:pPr>
        <w:pStyle w:val="CaptionedFigure"/>
      </w:pPr>
      <w:bookmarkStart w:id="33" w:name="fig-005"/>
      <w:r>
        <w:drawing>
          <wp:inline>
            <wp:extent cx="5334000" cy="3900985"/>
            <wp:effectExtent b="0" l="0" r="0" t="0"/>
            <wp:docPr descr="Примеры множеств и операций над ними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Примеры множеств и операций над ними</w:t>
      </w:r>
    </w:p>
    <w:bookmarkEnd w:id="34"/>
    <w:bookmarkStart w:id="53" w:name="массивы"/>
    <w:p>
      <w:pPr>
        <w:pStyle w:val="Heading2"/>
      </w:pPr>
      <w:r>
        <w:t xml:space="preserve">Массивы</w:t>
      </w:r>
    </w:p>
    <w:p>
      <w:pPr>
        <w:pStyle w:val="FirstParagraph"/>
      </w:pPr>
      <w:r>
        <w:t xml:space="preserve">Массив — коллекция упорядоченных элементов, размещённая в многомерной сетке.</w:t>
      </w:r>
      <w:r>
        <w:t xml:space="preserve"> </w:t>
      </w:r>
      <w:r>
        <w:t xml:space="preserve">Векторы и матрицы являются частными случаями массивов.</w:t>
      </w:r>
      <w:r>
        <w:t xml:space="preserve"> </w:t>
      </w:r>
      <w:r>
        <w:t xml:space="preserve">Общий синтаксис одномерных массивов:</w:t>
      </w:r>
      <w:r>
        <w:t xml:space="preserve"> </w:t>
      </w:r>
      <w:r>
        <w:t xml:space="preserve">array_name_1 = [element1, element2, …]</w:t>
      </w:r>
      <w:r>
        <w:t xml:space="preserve"> </w:t>
      </w:r>
      <w:r>
        <w:t xml:space="preserve">array_name_2 = [element1 element2 …]</w:t>
      </w:r>
    </w:p>
    <w:p>
      <w:pPr>
        <w:pStyle w:val="BodyText"/>
      </w:pPr>
      <w:r>
        <w:t xml:space="preserve">Примеры массивов:</w:t>
      </w:r>
    </w:p>
    <w:p>
      <w:pPr>
        <w:pStyle w:val="CaptionedFigure"/>
      </w:pPr>
      <w:bookmarkStart w:id="36" w:name="fig-006"/>
      <w:r>
        <w:drawing>
          <wp:inline>
            <wp:extent cx="5334000" cy="3208973"/>
            <wp:effectExtent b="0" l="0" r="0" t="0"/>
            <wp:docPr descr="Примеры массивов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Примеры массивов</w:t>
      </w:r>
    </w:p>
    <w:p>
      <w:pPr>
        <w:pStyle w:val="CaptionedFigure"/>
      </w:pPr>
      <w:bookmarkStart w:id="38" w:name="fig-007"/>
      <w:r>
        <w:drawing>
          <wp:inline>
            <wp:extent cx="5334000" cy="2713035"/>
            <wp:effectExtent b="0" l="0" r="0" t="0"/>
            <wp:docPr descr="Примеры массивов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Примеры массивов</w:t>
      </w:r>
    </w:p>
    <w:p>
      <w:pPr>
        <w:pStyle w:val="BodyText"/>
      </w:pPr>
      <w:r>
        <w:t xml:space="preserve">Примеры массивов, заданных некоторыми функциями через включение:</w:t>
      </w:r>
    </w:p>
    <w:p>
      <w:pPr>
        <w:pStyle w:val="CaptionedFigure"/>
      </w:pPr>
      <w:bookmarkStart w:id="40" w:name="fig-008"/>
      <w:r>
        <w:drawing>
          <wp:inline>
            <wp:extent cx="5334000" cy="3265463"/>
            <wp:effectExtent b="0" l="0" r="0" t="0"/>
            <wp:docPr descr="Примеры массивов, заданных некоторыми функциями через включение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Примеры массивов, заданных некоторыми функциями через включение</w:t>
      </w:r>
    </w:p>
    <w:p>
      <w:pPr>
        <w:pStyle w:val="BodyText"/>
      </w:pPr>
      <w:r>
        <w:t xml:space="preserve">Некоторые операции для работы с массивами:</w:t>
      </w:r>
    </w:p>
    <w:p>
      <w:pPr>
        <w:pStyle w:val="CaptionedFigure"/>
      </w:pPr>
      <w:bookmarkStart w:id="42" w:name="fig-009"/>
      <w:r>
        <w:drawing>
          <wp:inline>
            <wp:extent cx="5334000" cy="3140522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Некоторые операции для работы с массивами</w:t>
      </w:r>
    </w:p>
    <w:p>
      <w:pPr>
        <w:pStyle w:val="CaptionedFigure"/>
      </w:pPr>
      <w:bookmarkStart w:id="44" w:name="fig-010"/>
      <w:r>
        <w:drawing>
          <wp:inline>
            <wp:extent cx="5334000" cy="2703617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Некоторые операции для работы с массивами</w:t>
      </w:r>
    </w:p>
    <w:p>
      <w:pPr>
        <w:pStyle w:val="CaptionedFigure"/>
      </w:pPr>
      <w:bookmarkStart w:id="46" w:name="fig-011"/>
      <w:r>
        <w:drawing>
          <wp:inline>
            <wp:extent cx="5334000" cy="3832668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Некоторые операции для работы с массивами</w:t>
      </w:r>
    </w:p>
    <w:p>
      <w:pPr>
        <w:pStyle w:val="CaptionedFigure"/>
      </w:pPr>
      <w:bookmarkStart w:id="48" w:name="fig-012"/>
      <w:r>
        <w:drawing>
          <wp:inline>
            <wp:extent cx="5334000" cy="3566230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Некоторые операции для работы с массивами</w:t>
      </w:r>
    </w:p>
    <w:p>
      <w:pPr>
        <w:pStyle w:val="CaptionedFigure"/>
      </w:pPr>
      <w:bookmarkStart w:id="50" w:name="fig-013"/>
      <w:r>
        <w:drawing>
          <wp:inline>
            <wp:extent cx="5334000" cy="3511295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Некоторые операции для работы с массивами</w:t>
      </w:r>
    </w:p>
    <w:p>
      <w:pPr>
        <w:pStyle w:val="CaptionedFigure"/>
      </w:pPr>
      <w:bookmarkStart w:id="52" w:name="fig-014"/>
      <w:r>
        <w:drawing>
          <wp:inline>
            <wp:extent cx="5334000" cy="4296162"/>
            <wp:effectExtent b="0" l="0" r="0" t="0"/>
            <wp:docPr descr="Некоторые операции для работы с массивами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Некоторые операции для работы с массивами</w:t>
      </w:r>
    </w:p>
    <w:bookmarkEnd w:id="53"/>
    <w:bookmarkStart w:id="72" w:name="самостоятельная-работа"/>
    <w:p>
      <w:pPr>
        <w:pStyle w:val="Heading2"/>
      </w:pP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заданий №1 и №2:</w:t>
      </w:r>
    </w:p>
    <w:p>
      <w:pPr>
        <w:pStyle w:val="CaptionedFigure"/>
      </w:pPr>
      <w:bookmarkStart w:id="55" w:name="fig-015"/>
      <w:r>
        <w:drawing>
          <wp:inline>
            <wp:extent cx="5334000" cy="2190641"/>
            <wp:effectExtent b="0" l="0" r="0" t="0"/>
            <wp:docPr descr="Решение заданий №1 и №2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Решение заданий №1 и №2</w:t>
      </w:r>
    </w:p>
    <w:p>
      <w:pPr>
        <w:pStyle w:val="BodyText"/>
      </w:pPr>
      <w:r>
        <w:t xml:space="preserve">Выполнение задания №3(всех подпунктов):</w:t>
      </w:r>
    </w:p>
    <w:p>
      <w:pPr>
        <w:pStyle w:val="CaptionedFigure"/>
      </w:pPr>
      <w:bookmarkStart w:id="57" w:name="fig-016"/>
      <w:r>
        <w:drawing>
          <wp:inline>
            <wp:extent cx="5334000" cy="2195637"/>
            <wp:effectExtent b="0" l="0" r="0" t="0"/>
            <wp:docPr descr="Решение подпунктов задания №3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Решение подпунктов задания №3</w:t>
      </w:r>
    </w:p>
    <w:p>
      <w:pPr>
        <w:pStyle w:val="CaptionedFigure"/>
      </w:pPr>
      <w:bookmarkStart w:id="59" w:name="fig-017"/>
      <w:r>
        <w:drawing>
          <wp:inline>
            <wp:extent cx="5334000" cy="1824789"/>
            <wp:effectExtent b="0" l="0" r="0" t="0"/>
            <wp:docPr descr="Решение подпунктов задания №3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Решение подпунктов задания №3</w:t>
      </w:r>
    </w:p>
    <w:p>
      <w:pPr>
        <w:pStyle w:val="CaptionedFigure"/>
      </w:pPr>
      <w:bookmarkStart w:id="61" w:name="fig-018"/>
      <w:r>
        <w:drawing>
          <wp:inline>
            <wp:extent cx="5334000" cy="2123890"/>
            <wp:effectExtent b="0" l="0" r="0" t="0"/>
            <wp:docPr descr="Решение подпунктов задания №3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Решение подпунктов задания №3</w:t>
      </w:r>
    </w:p>
    <w:p>
      <w:pPr>
        <w:pStyle w:val="CaptionedFigure"/>
      </w:pPr>
      <w:bookmarkStart w:id="63" w:name="fig-019"/>
      <w:r>
        <w:drawing>
          <wp:inline>
            <wp:extent cx="5334000" cy="3640955"/>
            <wp:effectExtent b="0" l="0" r="0" t="0"/>
            <wp:docPr descr="Решение подпунктов задания №3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Решение подпунктов задания №3</w:t>
      </w:r>
    </w:p>
    <w:p>
      <w:pPr>
        <w:pStyle w:val="CaptionedFigure"/>
      </w:pPr>
      <w:bookmarkStart w:id="65" w:name="fig-020"/>
      <w:r>
        <w:drawing>
          <wp:inline>
            <wp:extent cx="5334000" cy="3752193"/>
            <wp:effectExtent b="0" l="0" r="0" t="0"/>
            <wp:docPr descr="Решение подпунктов задания №3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Решение подпунктов задания №3</w:t>
      </w:r>
    </w:p>
    <w:p>
      <w:pPr>
        <w:pStyle w:val="BodyText"/>
      </w:pPr>
      <w:r>
        <w:t xml:space="preserve">Выполнение задания №4:</w:t>
      </w:r>
    </w:p>
    <w:p>
      <w:pPr>
        <w:pStyle w:val="CaptionedFigure"/>
      </w:pPr>
      <w:bookmarkStart w:id="67" w:name="fig-021"/>
      <w:r>
        <w:drawing>
          <wp:inline>
            <wp:extent cx="5334000" cy="787283"/>
            <wp:effectExtent b="0" l="0" r="0" t="0"/>
            <wp:docPr descr="Решение задания №4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Решение задания №4</w:t>
      </w:r>
    </w:p>
    <w:p>
      <w:pPr>
        <w:pStyle w:val="BodyText"/>
      </w:pPr>
      <w:r>
        <w:t xml:space="preserve">Выполнение задания №5:</w:t>
      </w:r>
    </w:p>
    <w:p>
      <w:pPr>
        <w:pStyle w:val="CaptionedFigure"/>
      </w:pPr>
      <w:bookmarkStart w:id="69" w:name="fig-022"/>
      <w:r>
        <w:drawing>
          <wp:inline>
            <wp:extent cx="5334000" cy="930561"/>
            <wp:effectExtent b="0" l="0" r="0" t="0"/>
            <wp:docPr descr="Решение задания №5" title="" id="1" name="Picture"/>
            <a:graphic>
              <a:graphicData uri="http://schemas.openxmlformats.org/drawingml/2006/picture">
                <pic:pic>
                  <pic:nvPicPr>
                    <pic:cNvPr descr="image/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Решение задания №5</w:t>
      </w:r>
    </w:p>
    <w:p>
      <w:pPr>
        <w:pStyle w:val="BodyText"/>
      </w:pPr>
      <w:r>
        <w:t xml:space="preserve">Выполнение задания №6:</w:t>
      </w:r>
    </w:p>
    <w:p>
      <w:pPr>
        <w:pStyle w:val="CaptionedFigure"/>
      </w:pPr>
      <w:bookmarkStart w:id="71" w:name="fig-023"/>
      <w:r>
        <w:drawing>
          <wp:inline>
            <wp:extent cx="5334000" cy="1285009"/>
            <wp:effectExtent b="0" l="0" r="0" t="0"/>
            <wp:docPr descr="Решение задания №6" title="" id="1" name="Picture"/>
            <a:graphic>
              <a:graphicData uri="http://schemas.openxmlformats.org/drawingml/2006/picture">
                <pic:pic>
                  <pic:nvPicPr>
                    <pic:cNvPr descr="image/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Решение задания №6</w:t>
      </w:r>
    </w:p>
    <w:bookmarkEnd w:id="72"/>
    <w:bookmarkEnd w:id="73"/>
    <w:bookmarkStart w:id="7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несколько структур данных, реализованных в Julia, а также научились применять их и операции над ними для решения задач.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Julia Documentation: https://docs.julialang.org/en/v1/</w:t>
      </w:r>
    </w:p>
    <w:bookmarkStart w:id="75" w:name="refs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24" Target="media/rId24.png" /><Relationship Type="http://schemas.openxmlformats.org/officeDocument/2006/relationships/image" Id="rId64" Target="media/rId64.png" /><Relationship Type="http://schemas.openxmlformats.org/officeDocument/2006/relationships/image" Id="rId66" Target="media/rId66.png" /><Relationship Type="http://schemas.openxmlformats.org/officeDocument/2006/relationships/image" Id="rId68" Target="media/rId68.png" /><Relationship Type="http://schemas.openxmlformats.org/officeDocument/2006/relationships/image" Id="rId70" Target="media/rId7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Студент: Кузнецова София Вадимовна</dc:creator>
  <dc:language>ru-RU</dc:language>
  <cp:keywords/>
  <dcterms:created xsi:type="dcterms:W3CDTF">2025-09-25T21:27:57Z</dcterms:created>
  <dcterms:modified xsi:type="dcterms:W3CDTF">2025-09-25T21:27:57Z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PT Serif</vt:lpwstr>
  </property>
  <property fmtid="{D5CDD505-2E9C-101B-9397-08002B2CF9AE}" pid="21" name="mainfontoptions">
    <vt:lpwstr>Ligatures=TeX</vt:lpwstr>
  </property>
  <property fmtid="{D5CDD505-2E9C-101B-9397-08002B2CF9AE}" pid="22" name="monofont">
    <vt:lpwstr>PT Mono</vt:lpwstr>
  </property>
  <property fmtid="{D5CDD505-2E9C-101B-9397-08002B2CF9AE}" pid="23" name="monofontoptions">
    <vt:lpwstr>Scale=MatchLowercase,Scale=0.9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PT Serif</vt:lpwstr>
  </property>
  <property fmtid="{D5CDD505-2E9C-101B-9397-08002B2CF9AE}" pid="28" name="romanfontoptions">
    <vt:lpwstr>Ligatures=TeX</vt:lpwstr>
  </property>
  <property fmtid="{D5CDD505-2E9C-101B-9397-08002B2CF9AE}" pid="29" name="sansfont">
    <vt:lpwstr>PT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Структуры данных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