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Network Intrusion Detection System (NIDS)</w:t>
      </w:r>
    </w:p>
    <w:p>
      <w:pPr>
        <w:spacing w:after="400"/>
      </w:pPr>
      <w:r>
        <w:rPr>
          <w:i/>
          <w:iCs/>
          <w:sz w:val="24"/>
          <w:szCs w:val="24"/>
        </w:rPr>
        <w:t xml:space="preserve">Problem Statement No. 40 — Full Project Specification</w:t>
      </w:r>
    </w:p>
    <w:p>
      <w:pPr>
        <w:pStyle w:val="Heading1"/>
        <w:spacing w:after="150" w:before="300"/>
      </w:pPr>
      <w:r>
        <w:t xml:space="preserve">1. Project Goal</w:t>
      </w:r>
    </w:p>
    <w:p>
      <w:pPr>
        <w:spacing w:after="120"/>
      </w:pPr>
      <w:r>
        <w:t xml:space="preserve">Design, build, and deploy a machine learning-based Network Intrusion Detection System that:</w:t>
      </w:r>
    </w:p>
    <w:p>
      <w:pPr>
        <w:pStyle w:val="ListParagraph"/>
        <w:numPr>
          <w:ilvl w:val="0"/>
          <w:numId w:val="1"/>
        </w:numPr>
        <w:spacing w:after="80"/>
      </w:pPr>
      <w:r>
        <w:t xml:space="preserve">Classifies network traffic as Normal or one of four attack categories: DoS, Probe, R2L, U2R</w:t>
      </w:r>
    </w:p>
    <w:p>
      <w:pPr>
        <w:pStyle w:val="ListParagraph"/>
        <w:numPr>
          <w:ilvl w:val="0"/>
          <w:numId w:val="1"/>
        </w:numPr>
        <w:spacing w:after="80"/>
      </w:pPr>
      <w:r>
        <w:t xml:space="preserve">Operates on live captured traffic, not just static test records</w:t>
      </w:r>
    </w:p>
    <w:p>
      <w:pPr>
        <w:pStyle w:val="ListParagraph"/>
        <w:numPr>
          <w:ilvl w:val="0"/>
          <w:numId w:val="1"/>
        </w:numPr>
        <w:spacing w:after="80"/>
      </w:pPr>
      <w:r>
        <w:t xml:space="preserve">Is deployed and served through IBM Cloud Lite services (mandatory requirement)</w:t>
      </w:r>
    </w:p>
    <w:p>
      <w:pPr>
        <w:pStyle w:val="ListParagraph"/>
        <w:numPr>
          <w:ilvl w:val="0"/>
          <w:numId w:val="1"/>
        </w:numPr>
        <w:spacing w:after="80"/>
      </w:pPr>
      <w:r>
        <w:t xml:space="preserve">Provides early warning — a classification returned in real time as traffic is observed, with a recommended mitigation action displayed to the operator</w:t>
      </w:r>
    </w:p>
    <w:p>
      <w:pPr>
        <w:spacing w:after="120"/>
      </w:pPr>
      <w:r>
        <w:t xml:space="preserve"/>
      </w:r>
    </w:p>
    <w:p>
      <w:pPr>
        <w:spacing w:after="120"/>
      </w:pPr>
      <w:r>
        <w:t xml:space="preserve">Dataset: NSL-KDD, distributed via Kaggle as Train_data.csv (https://www.kaggle.com/datasets/sampadab17/network-intrusion-detection)</w:t>
      </w:r>
    </w:p>
    <w:p>
      <w:pPr>
        <w:pStyle w:val="Heading1"/>
        <w:spacing w:after="150" w:before="300"/>
      </w:pPr>
      <w:r>
        <w:t xml:space="preserve">2. Scoping Decision</w:t>
      </w:r>
    </w:p>
    <w:p>
      <w:pPr>
        <w:pStyle w:val="Heading2"/>
        <w:spacing w:after="120" w:before="240"/>
      </w:pPr>
      <w:r>
        <w:t xml:space="preserve">2a. Label granularity: binary, not multi-class — committed decision</w:t>
      </w:r>
    </w:p>
    <w:p>
      <w:pPr>
        <w:spacing w:after="120"/>
      </w:pPr>
      <w:r>
        <w:t xml:space="preserve">The problem statement contains an internal contradiction: it links to the Kaggle dataset sampadab17/network-intrusion-detection, but describes classifying DoS/Probe/R2L/U2R specifically. Verified directly: this Kaggle dataset's class column contains only normal/anomaly labels — the original attack-type labels were already collapsed to binary before this CSV was published. The dataset cannot produce a 4-category classifier no matter how it is processed.</w:t>
      </w:r>
    </w:p>
    <w:p>
      <w:pPr>
        <w:spacing w:after="120"/>
      </w:pPr>
      <w:r>
        <w:t xml:space="preserve">Decision (committed): Follow the linked dataset literally. Scope is binary classification — Normal vs. Anomaly, not the 4-category DoS/Probe/R2L/U2R breakdown. This is a deliberate, documented deviation from the challenge's prose description, made because the explicitly linked dataset takes precedence over descriptive text when the two conflict, and because an instructor/evaluator was not reachable for clarification before the work needed to proceed.</w:t>
      </w:r>
    </w:p>
    <w:p>
      <w:pPr>
        <w:spacing w:after="120"/>
      </w:pPr>
      <w:r>
        <w:rPr>
          <w:b/>
          <w:bCs/>
        </w:rPr>
        <w:t xml:space="preserve">Report language used:</w:t>
      </w:r>
    </w:p>
    <w:p>
      <w:pPr>
        <w:spacing w:after="120"/>
      </w:pPr>
      <w:r>
        <w:rPr>
          <w:i/>
          <w:iCs/>
        </w:rPr>
        <w:t xml:space="preserve">"The dataset explicitly linked in the problem statement (Kaggle: sampadab17/network-intrusion-detection) contains binary labels (normal/anomaly) only; the original per-attack-type labels referenced in the challenge description (DoS, Probe, R2L, U2R) are not present in this redistribution. This project therefore implements binary anomaly detection, consistent with the dataset actually specified. This is stated here as a deliberate, evaluated scoping decision, not an oversight."</w:t>
      </w:r>
    </w:p>
    <w:p>
      <w:pPr>
        <w:spacing w:after="120"/>
      </w:pPr>
      <w:r>
        <w:rPr>
          <w:b/>
          <w:bCs/>
        </w:rPr>
        <w:t xml:space="preserve">Dataset provenance note:</w:t>
      </w:r>
    </w:p>
    <w:p>
      <w:pPr>
        <w:spacing w:after="120"/>
      </w:pPr>
      <w:r>
        <w:t xml:space="preserve">Train_data.csv (25,192 rows) matches the known size of NSL-KDD's KDDTrain+_20Percent subset; Test_data.csv (22,544 rows, no label column) matches the full KDDTest+ set with labels stripped for submission-style scoring. Test_data.csv has no ground truth — it cannot be used to measure accuracy, only to generate example predictions for demonstration.</w:t>
      </w:r>
    </w:p>
    <w:p>
      <w:pPr>
        <w:pStyle w:val="Heading2"/>
        <w:spacing w:after="120" w:before="240"/>
      </w:pPr>
      <w:r>
        <w:t xml:space="preserve">2b. Live-capture feature reconstruction</w:t>
      </w:r>
    </w:p>
    <w:p>
      <w:pPr>
        <w:spacing w:after="120"/>
      </w:pPr>
      <w:r>
        <w:t xml:space="preserve">NSL-KDD's 41 features fall into four groups, which determines what is actually buildable from live traffic:</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5500"/>
        <w:gridCol w:w="1200"/>
        <w:gridCol w:w="4500"/>
      </w:tblGrid>
      <w:tr>
        <w:tc>
          <w:tcPr>
            <w:tcW w:type="dxa" w:w="5500"/>
            <w:shd w:fill="D9D9D9" w:val="clear"/>
          </w:tcPr>
          <w:p>
            <w:r>
              <w:rPr>
                <w:b/>
                <w:bCs/>
              </w:rPr>
              <w:t xml:space="preserve">Group</w:t>
            </w:r>
          </w:p>
        </w:tc>
        <w:tc>
          <w:tcPr>
            <w:tcW w:type="dxa" w:w="1200"/>
            <w:shd w:fill="D9D9D9" w:val="clear"/>
          </w:tcPr>
          <w:p>
            <w:r>
              <w:rPr>
                <w:b/>
                <w:bCs/>
              </w:rPr>
              <w:t xml:space="preserve">Count</w:t>
            </w:r>
          </w:p>
        </w:tc>
        <w:tc>
          <w:tcPr>
            <w:tcW w:type="dxa" w:w="4500"/>
            <w:shd w:fill="D9D9D9" w:val="clear"/>
          </w:tcPr>
          <w:p>
            <w:r>
              <w:rPr>
                <w:b/>
                <w:bCs/>
              </w:rPr>
              <w:t xml:space="preserve">Derivable from live capture?</w:t>
            </w:r>
          </w:p>
        </w:tc>
      </w:tr>
      <w:tr>
        <w:tc>
          <w:tcPr>
            <w:tcW w:type="dxa" w:w="5500"/>
          </w:tcPr>
          <w:p>
            <w:r>
              <w:rPr>
                <w:b w:val="false"/>
                <w:bCs w:val="false"/>
              </w:rPr>
              <w:t xml:space="preserve">Basic (duration, protocol_type, service, flag, src/dst_bytes, etc.)</w:t>
            </w:r>
          </w:p>
        </w:tc>
        <w:tc>
          <w:tcPr>
            <w:tcW w:type="dxa" w:w="1200"/>
          </w:tcPr>
          <w:p>
            <w:r>
              <w:rPr>
                <w:b w:val="false"/>
                <w:bCs w:val="false"/>
              </w:rPr>
              <w:t xml:space="preserve">9</w:t>
            </w:r>
          </w:p>
        </w:tc>
        <w:tc>
          <w:tcPr>
            <w:tcW w:type="dxa" w:w="4500"/>
          </w:tcPr>
          <w:p>
            <w:r>
              <w:rPr>
                <w:b w:val="false"/>
                <w:bCs w:val="false"/>
              </w:rPr>
              <w:t xml:space="preserve">Yes — directly from packet headers</w:t>
            </w:r>
          </w:p>
        </w:tc>
      </w:tr>
      <w:tr>
        <w:tc>
          <w:tcPr>
            <w:tcW w:type="dxa" w:w="5500"/>
          </w:tcPr>
          <w:p>
            <w:r>
              <w:rPr>
                <w:b w:val="false"/>
                <w:bCs w:val="false"/>
              </w:rPr>
              <w:t xml:space="preserve">Content (num_failed_logins, root_shell, num_file_creations, is_guest_login, etc.)</w:t>
            </w:r>
          </w:p>
        </w:tc>
        <w:tc>
          <w:tcPr>
            <w:tcW w:type="dxa" w:w="1200"/>
          </w:tcPr>
          <w:p>
            <w:r>
              <w:rPr>
                <w:b w:val="false"/>
                <w:bCs w:val="false"/>
              </w:rPr>
              <w:t xml:space="preserve">13</w:t>
            </w:r>
          </w:p>
        </w:tc>
        <w:tc>
          <w:tcPr>
            <w:tcW w:type="dxa" w:w="4500"/>
          </w:tcPr>
          <w:p>
            <w:r>
              <w:rPr>
                <w:b w:val="false"/>
                <w:bCs w:val="false"/>
              </w:rPr>
              <w:t xml:space="preserve">No — requires per-protocol application-layer parsing. Out of scope.</w:t>
            </w:r>
          </w:p>
        </w:tc>
      </w:tr>
      <w:tr>
        <w:tc>
          <w:tcPr>
            <w:tcW w:type="dxa" w:w="5500"/>
          </w:tcPr>
          <w:p>
            <w:r>
              <w:rPr>
                <w:b w:val="false"/>
                <w:bCs w:val="false"/>
              </w:rPr>
              <w:t xml:space="preserve">Time-based traffic (count, serror_rate, same_srv_rate, etc. — 2-second window)</w:t>
            </w:r>
          </w:p>
        </w:tc>
        <w:tc>
          <w:tcPr>
            <w:tcW w:type="dxa" w:w="1200"/>
          </w:tcPr>
          <w:p>
            <w:r>
              <w:rPr>
                <w:b w:val="false"/>
                <w:bCs w:val="false"/>
              </w:rPr>
              <w:t xml:space="preserve">9</w:t>
            </w:r>
          </w:p>
        </w:tc>
        <w:tc>
          <w:tcPr>
            <w:tcW w:type="dxa" w:w="4500"/>
          </w:tcPr>
          <w:p>
            <w:r>
              <w:rPr>
                <w:b w:val="false"/>
                <w:bCs w:val="false"/>
              </w:rPr>
              <w:t xml:space="preserve">Yes — via a flow aggregator</w:t>
            </w:r>
          </w:p>
        </w:tc>
      </w:tr>
      <w:tr>
        <w:tc>
          <w:tcPr>
            <w:tcW w:type="dxa" w:w="5500"/>
          </w:tcPr>
          <w:p>
            <w:r>
              <w:rPr>
                <w:b w:val="false"/>
                <w:bCs w:val="false"/>
              </w:rPr>
              <w:t xml:space="preserve">Host-based traffic (dst_host_count, dst_host_srv_count, etc. — last 100 connections)</w:t>
            </w:r>
          </w:p>
        </w:tc>
        <w:tc>
          <w:tcPr>
            <w:tcW w:type="dxa" w:w="1200"/>
          </w:tcPr>
          <w:p>
            <w:r>
              <w:rPr>
                <w:b w:val="false"/>
                <w:bCs w:val="false"/>
              </w:rPr>
              <w:t xml:space="preserve">10</w:t>
            </w:r>
          </w:p>
        </w:tc>
        <w:tc>
          <w:tcPr>
            <w:tcW w:type="dxa" w:w="4500"/>
          </w:tcPr>
          <w:p>
            <w:r>
              <w:rPr>
                <w:b w:val="false"/>
                <w:bCs w:val="false"/>
              </w:rPr>
              <w:t xml:space="preserve">Yes — via a flow aggregator</w:t>
            </w:r>
          </w:p>
        </w:tc>
      </w:tr>
    </w:tbl>
    <w:p>
      <w:pPr>
        <w:spacing w:after="120"/>
      </w:pPr>
      <w:r>
        <w:t xml:space="preserve"/>
      </w:r>
    </w:p>
    <w:p>
      <w:pPr>
        <w:spacing w:after="120"/>
      </w:pPr>
      <w:r>
        <w:t xml:space="preserve">Decision: Reconstruct 28 of 41 features (Basic + Time-based + Host-based) from live traffic via a custom flow aggregator. The 13 Content features are set to safe defaults (0 / not logged in) at inference time.</w:t>
      </w:r>
    </w:p>
    <w:p>
      <w:pPr>
        <w:spacing w:after="120"/>
      </w:pPr>
      <w:r>
        <w:rPr>
          <w:b/>
          <w:bCs/>
        </w:rPr>
        <w:t xml:space="preserve">Documented consequence:</w:t>
      </w:r>
    </w:p>
    <w:p>
      <w:pPr>
        <w:spacing w:after="120"/>
      </w:pPr>
      <w:r>
        <w:t xml:space="preserve">Since detection is binary (Normal/Anomaly) rather than per-attack-category, the earlier concern about R2L/U2R specifically being weaker no longer applies as a class-level statement — but the underlying limitation still holds: any anomaly whose signature depends primarily on Content features (e.g. login-abuse-style attacks) is harder to catch from live traffic than one whose signature is timing/volume-based (e.g. flooding, scanning). This is stated as a general limitation of the live-capture path, not a per-class table.</w:t>
      </w:r>
    </w:p>
    <w:p>
      <w:pPr>
        <w:pStyle w:val="Heading1"/>
        <w:spacing w:after="150" w:before="300"/>
      </w:pPr>
      <w:r>
        <w:t xml:space="preserve">3. Technology Stack</w:t>
      </w:r>
    </w:p>
    <w:p>
      <w:pPr>
        <w:pStyle w:val="Heading2"/>
        <w:spacing w:after="120" w:before="240"/>
      </w:pPr>
      <w:r>
        <w:t xml:space="preserve">Cloud Layer (IBM Cloud Lite — mandatory, used for real work)</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4500"/>
        <w:gridCol w:w="6700"/>
      </w:tblGrid>
      <w:tr>
        <w:tc>
          <w:tcPr>
            <w:tcW w:type="dxa" w:w="4500"/>
            <w:shd w:fill="D9D9D9" w:val="clear"/>
          </w:tcPr>
          <w:p>
            <w:r>
              <w:rPr>
                <w:b/>
                <w:bCs/>
              </w:rPr>
              <w:t xml:space="preserve">Service</w:t>
            </w:r>
          </w:p>
        </w:tc>
        <w:tc>
          <w:tcPr>
            <w:tcW w:type="dxa" w:w="6700"/>
            <w:shd w:fill="D9D9D9" w:val="clear"/>
          </w:tcPr>
          <w:p>
            <w:r>
              <w:rPr>
                <w:b/>
                <w:bCs/>
              </w:rPr>
              <w:t xml:space="preserve">Role</w:t>
            </w:r>
          </w:p>
        </w:tc>
      </w:tr>
      <w:tr>
        <w:tc>
          <w:tcPr>
            <w:tcW w:type="dxa" w:w="4500"/>
          </w:tcPr>
          <w:p>
            <w:r>
              <w:rPr>
                <w:b w:val="false"/>
                <w:bCs w:val="false"/>
              </w:rPr>
              <w:t xml:space="preserve">Watson Studio — AutoAI</w:t>
            </w:r>
          </w:p>
        </w:tc>
        <w:tc>
          <w:tcPr>
            <w:tcW w:type="dxa" w:w="6700"/>
          </w:tcPr>
          <w:p>
            <w:r>
              <w:rPr>
                <w:b w:val="false"/>
                <w:bCs w:val="false"/>
              </w:rPr>
              <w:t xml:space="preserve">Automated pipeline search: preprocessing, algorithm selection, and hyperparameter optimization on Train_data.csv</w:t>
            </w:r>
          </w:p>
        </w:tc>
      </w:tr>
      <w:tr>
        <w:tc>
          <w:tcPr>
            <w:tcW w:type="dxa" w:w="4500"/>
          </w:tcPr>
          <w:p>
            <w:r>
              <w:rPr>
                <w:b w:val="false"/>
                <w:bCs w:val="false"/>
              </w:rPr>
              <w:t xml:space="preserve">Cloud Object Storage (COS)</w:t>
            </w:r>
          </w:p>
        </w:tc>
        <w:tc>
          <w:tcPr>
            <w:tcW w:type="dxa" w:w="6700"/>
          </w:tcPr>
          <w:p>
            <w:r>
              <w:rPr>
                <w:b w:val="false"/>
                <w:bCs w:val="false"/>
              </w:rPr>
              <w:t xml:space="preserve">Backing storage AutoAI uses automatically for the project and its generated pipeline artifacts</w:t>
            </w:r>
          </w:p>
        </w:tc>
      </w:tr>
      <w:tr>
        <w:tc>
          <w:tcPr>
            <w:tcW w:type="dxa" w:w="4500"/>
          </w:tcPr>
          <w:p>
            <w:r>
              <w:rPr>
                <w:b w:val="false"/>
                <w:bCs w:val="false"/>
              </w:rPr>
              <w:t xml:space="preserve">Watson Machine Learning (WML)</w:t>
            </w:r>
          </w:p>
        </w:tc>
        <w:tc>
          <w:tcPr>
            <w:tcW w:type="dxa" w:w="6700"/>
          </w:tcPr>
          <w:p>
            <w:r>
              <w:rPr>
                <w:b w:val="false"/>
                <w:bCs w:val="false"/>
              </w:rPr>
              <w:t xml:space="preserve">Hosts the AutoAI-selected pipeline in a Deployment Space as a live REST scoring endpoint</w:t>
            </w:r>
          </w:p>
        </w:tc>
      </w:tr>
    </w:tbl>
    <w:p>
      <w:pPr>
        <w:spacing w:after="120"/>
      </w:pPr>
      <w:r>
        <w:t xml:space="preserve"/>
      </w:r>
    </w:p>
    <w:p>
      <w:pPr>
        <w:pStyle w:val="Heading2"/>
        <w:spacing w:after="120" w:before="240"/>
      </w:pPr>
      <w:r>
        <w:t xml:space="preserve">Local Layer (capture + interface)</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4500"/>
        <w:gridCol w:w="6700"/>
      </w:tblGrid>
      <w:tr>
        <w:tc>
          <w:tcPr>
            <w:tcW w:type="dxa" w:w="4500"/>
            <w:shd w:fill="D9D9D9" w:val="clear"/>
          </w:tcPr>
          <w:p>
            <w:r>
              <w:rPr>
                <w:b/>
                <w:bCs/>
              </w:rPr>
              <w:t xml:space="preserve">Tool</w:t>
            </w:r>
          </w:p>
        </w:tc>
        <w:tc>
          <w:tcPr>
            <w:tcW w:type="dxa" w:w="6700"/>
            <w:shd w:fill="D9D9D9" w:val="clear"/>
          </w:tcPr>
          <w:p>
            <w:r>
              <w:rPr>
                <w:b/>
                <w:bCs/>
              </w:rPr>
              <w:t xml:space="preserve">Role</w:t>
            </w:r>
          </w:p>
        </w:tc>
      </w:tr>
      <w:tr>
        <w:tc>
          <w:tcPr>
            <w:tcW w:type="dxa" w:w="4500"/>
          </w:tcPr>
          <w:p>
            <w:r>
              <w:rPr>
                <w:b w:val="false"/>
                <w:bCs w:val="false"/>
              </w:rPr>
              <w:t xml:space="preserve">Python 3.11+</w:t>
            </w:r>
          </w:p>
        </w:tc>
        <w:tc>
          <w:tcPr>
            <w:tcW w:type="dxa" w:w="6700"/>
          </w:tcPr>
          <w:p>
            <w:r>
              <w:rPr>
                <w:b w:val="false"/>
                <w:bCs w:val="false"/>
              </w:rPr>
              <w:t xml:space="preserve">Core language</w:t>
            </w:r>
          </w:p>
        </w:tc>
      </w:tr>
      <w:tr>
        <w:tc>
          <w:tcPr>
            <w:tcW w:type="dxa" w:w="4500"/>
          </w:tcPr>
          <w:p>
            <w:r>
              <w:rPr>
                <w:b w:val="false"/>
                <w:bCs w:val="false"/>
              </w:rPr>
              <w:t xml:space="preserve">Scapy</w:t>
            </w:r>
          </w:p>
        </w:tc>
        <w:tc>
          <w:tcPr>
            <w:tcW w:type="dxa" w:w="6700"/>
          </w:tcPr>
          <w:p>
            <w:r>
              <w:rPr>
                <w:b w:val="false"/>
                <w:bCs w:val="false"/>
              </w:rPr>
              <w:t xml:space="preserve">Raw packet capture from the local NIC</w:t>
            </w:r>
          </w:p>
        </w:tc>
      </w:tr>
      <w:tr>
        <w:tc>
          <w:tcPr>
            <w:tcW w:type="dxa" w:w="4500"/>
          </w:tcPr>
          <w:p>
            <w:r>
              <w:rPr>
                <w:b w:val="false"/>
                <w:bCs w:val="false"/>
              </w:rPr>
              <w:t xml:space="preserve">Custom Flow Aggregator</w:t>
            </w:r>
          </w:p>
        </w:tc>
        <w:tc>
          <w:tcPr>
            <w:tcW w:type="dxa" w:w="6700"/>
          </w:tcPr>
          <w:p>
            <w:r>
              <w:rPr>
                <w:b w:val="false"/>
                <w:bCs w:val="false"/>
              </w:rPr>
              <w:t xml:space="preserve">Converts raw packets into the 28-feature NSL-KDD-aligned vector</w:t>
            </w:r>
          </w:p>
        </w:tc>
      </w:tr>
      <w:tr>
        <w:tc>
          <w:tcPr>
            <w:tcW w:type="dxa" w:w="4500"/>
          </w:tcPr>
          <w:p>
            <w:r>
              <w:rPr>
                <w:b w:val="false"/>
                <w:bCs w:val="false"/>
              </w:rPr>
              <w:t xml:space="preserve">Streamlit</w:t>
            </w:r>
          </w:p>
        </w:tc>
        <w:tc>
          <w:tcPr>
            <w:tcW w:type="dxa" w:w="6700"/>
          </w:tcPr>
          <w:p>
            <w:r>
              <w:rPr>
                <w:b w:val="false"/>
                <w:bCs w:val="false"/>
              </w:rPr>
              <w:t xml:space="preserve">Local dashboard: live connection feed, alert panel, mitigation display</w:t>
            </w:r>
          </w:p>
        </w:tc>
      </w:tr>
    </w:tbl>
    <w:p>
      <w:pPr>
        <w:spacing w:after="120"/>
      </w:pPr>
      <w:r>
        <w:t xml:space="preserve"/>
      </w:r>
    </w:p>
    <w:p>
      <w:pPr>
        <w:pStyle w:val="Heading2"/>
        <w:spacing w:after="120" w:before="240"/>
      </w:pPr>
      <w:r>
        <w:t xml:space="preserve">Why AutoAI (supersedes an earlier hand-coded approach)</w:t>
      </w:r>
    </w:p>
    <w:p>
      <w:pPr>
        <w:spacing w:after="120"/>
      </w:pPr>
      <w:r>
        <w:t xml:space="preserve">The project initially used a hand-coded RandomForestClassifier to keep full control over training and preserve Watson Studio's CUH quota. That approach was fully built, deployed, and verified working, and remains available as a fallback. The switch to AutoAI was made because the submission template and a peer example both indicate AutoAI is the expected workflow for this assignment; AutoAI also sidesteps manual software-specification/model-type debugging, since AutoAI-generated pipelines carry their own correctly-matched deployment metadata.</w:t>
      </w:r>
    </w:p>
    <w:p>
      <w:pPr>
        <w:pStyle w:val="Heading2"/>
        <w:spacing w:after="120" w:before="240"/>
      </w:pPr>
      <w:r>
        <w:t xml:space="preserve">Explicitly excluded</w:t>
      </w:r>
    </w:p>
    <w:p>
      <w:pPr>
        <w:pStyle w:val="ListParagraph"/>
        <w:numPr>
          <w:ilvl w:val="0"/>
          <w:numId w:val="1"/>
        </w:numPr>
        <w:spacing w:after="80"/>
      </w:pPr>
      <w:r>
        <w:t xml:space="preserve">watsonx.ai Granite LLM for mitigation generation — an LLM authoring a firewall/iptables command displayed as an actionable instruction is an unvalidated-command-generation risk. Replaced with a static lookup table (Section 6).</w:t>
      </w:r>
    </w:p>
    <w:p>
      <w:pPr>
        <w:pStyle w:val="ListParagraph"/>
        <w:numPr>
          <w:ilvl w:val="0"/>
          <w:numId w:val="1"/>
        </w:numPr>
        <w:spacing w:after="80"/>
      </w:pPr>
      <w:r>
        <w:t xml:space="preserve">IBM Bob — a coding assistant for writing software, not an IBM Cloud service; irrelevant to the architecture.</w:t>
      </w:r>
    </w:p>
    <w:p>
      <w:pPr>
        <w:pStyle w:val="Heading1"/>
        <w:spacing w:after="150" w:before="300"/>
      </w:pPr>
      <w:r>
        <w:t xml:space="preserve">4. Full Architecture</w:t>
      </w:r>
    </w:p>
    <w:p>
      <w:pPr>
        <w:spacing w:after="120"/>
      </w:pPr>
      <w:r>
        <w:rPr>
          <w:i/>
          <w:iCs/>
        </w:rPr>
        <w:t xml:space="preserve">NIC (Wi-Fi/Ethernet) → Scapy Sniffer → Flow Aggregator → IBM Watson Machine Learning Deployment → Static Mitigation Lookup Table → Streamlit Dashboard.</w:t>
      </w:r>
    </w:p>
    <w:p>
      <w:pPr>
        <w:pStyle w:val="ListParagraph"/>
        <w:numPr>
          <w:ilvl w:val="0"/>
          <w:numId w:val="1"/>
        </w:numPr>
        <w:spacing w:after="80"/>
      </w:pPr>
      <w:r>
        <w:t xml:space="preserve">Flow Aggregator keys connections by (src_ip, dst_ip, dst_port, protocol); maintains a 2-second rolling window (time-based features) and a last-100-connections-per-host window (host-based features); on connection close/timeout, emits a 28-feature vector; fills the 13 Content features with defaults; one-hot encodes protocol_type/service/flag to match the training schema; verifies column order against the schema saved during training.</w:t>
      </w:r>
    </w:p>
    <w:p>
      <w:pPr>
        <w:pStyle w:val="ListParagraph"/>
        <w:numPr>
          <w:ilvl w:val="0"/>
          <w:numId w:val="1"/>
        </w:numPr>
        <w:spacing w:after="80"/>
      </w:pPr>
      <w:r>
        <w:t xml:space="preserve">WML Deployment hosts the trained model and returns predicted class + confidence score.</w:t>
      </w:r>
    </w:p>
    <w:p>
      <w:pPr>
        <w:pStyle w:val="ListParagraph"/>
        <w:numPr>
          <w:ilvl w:val="0"/>
          <w:numId w:val="1"/>
        </w:numPr>
        <w:spacing w:after="80"/>
      </w:pPr>
      <w:r>
        <w:t xml:space="preserve">Static Mitigation Lookup Table maps predicted class to a recommended operator action (displayed only, never auto-executed).</w:t>
      </w:r>
    </w:p>
    <w:p>
      <w:pPr>
        <w:pStyle w:val="ListParagraph"/>
        <w:numPr>
          <w:ilvl w:val="0"/>
          <w:numId w:val="1"/>
        </w:numPr>
        <w:spacing w:after="80"/>
      </w:pPr>
      <w:r>
        <w:t xml:space="preserve">Streamlit Dashboard shows a live table of classified connections, a highlighted alert row for anomalies, a mitigation panel, and a session-local history log.</w:t>
      </w:r>
    </w:p>
    <w:p>
      <w:pPr>
        <w:pStyle w:val="Heading1"/>
        <w:spacing w:after="150" w:before="300"/>
      </w:pPr>
      <w:r>
        <w:t xml:space="preserve">5. Methodology — Phased Build Order</w:t>
      </w:r>
    </w:p>
    <w:p>
      <w:pPr>
        <w:pStyle w:val="Heading2"/>
        <w:spacing w:after="120" w:before="240"/>
      </w:pPr>
      <w:r>
        <w:t xml:space="preserve">Phase 1 — Model (cloud, via AutoAI)</w:t>
      </w:r>
    </w:p>
    <w:p>
      <w:pPr>
        <w:pStyle w:val="ListParagraph"/>
        <w:numPr>
          <w:ilvl w:val="0"/>
          <w:numId w:val="1"/>
        </w:numPr>
        <w:spacing w:after="80"/>
      </w:pPr>
      <w:r>
        <w:t xml:space="preserve">Upload Train_data.csv to the Watson Studio project as a data asset.</w:t>
      </w:r>
    </w:p>
    <w:p>
      <w:pPr>
        <w:pStyle w:val="ListParagraph"/>
        <w:numPr>
          <w:ilvl w:val="0"/>
          <w:numId w:val="1"/>
        </w:numPr>
        <w:spacing w:after="80"/>
      </w:pPr>
      <w:r>
        <w:t xml:space="preserve">Create a new AutoAI experiment, select Train_data.csv as the source, and set class as the prediction column.</w:t>
      </w:r>
    </w:p>
    <w:p>
      <w:pPr>
        <w:pStyle w:val="ListParagraph"/>
        <w:numPr>
          <w:ilvl w:val="0"/>
          <w:numId w:val="1"/>
        </w:numPr>
        <w:spacing w:after="80"/>
      </w:pPr>
      <w:r>
        <w:t xml:space="preserve">Run the experiment — AutoAI handles preprocessing, algorithm selection, feature engineering, and hyperparameter optimization, producing a ranked pipeline leaderboard.</w:t>
      </w:r>
    </w:p>
    <w:p>
      <w:pPr>
        <w:pStyle w:val="ListParagraph"/>
        <w:numPr>
          <w:ilvl w:val="0"/>
          <w:numId w:val="1"/>
        </w:numPr>
        <w:spacing w:after="80"/>
      </w:pPr>
      <w:r>
        <w:t xml:space="preserve">Review the leaderboard; select the top-ranked pipeline (highest cross-validated accuracy).</w:t>
      </w:r>
    </w:p>
    <w:p>
      <w:pPr>
        <w:pStyle w:val="ListParagraph"/>
        <w:numPr>
          <w:ilvl w:val="0"/>
          <w:numId w:val="1"/>
        </w:numPr>
        <w:spacing w:after="80"/>
      </w:pPr>
      <w:r>
        <w:t xml:space="preserve">Record the real metrics from the leaderboard (accuracy, algorithm chosen, build time) — report these honestly, not a target number.</w:t>
      </w:r>
    </w:p>
    <w:p>
      <w:pPr>
        <w:pStyle w:val="ListParagraph"/>
        <w:numPr>
          <w:ilvl w:val="0"/>
          <w:numId w:val="1"/>
        </w:numPr>
        <w:spacing w:after="80"/>
      </w:pPr>
      <w:r>
        <w:t xml:space="preserve">Save the selected pipeline as a model asset.</w:t>
      </w:r>
    </w:p>
    <w:p>
      <w:pPr>
        <w:pStyle w:val="ListParagraph"/>
        <w:numPr>
          <w:ilvl w:val="0"/>
          <w:numId w:val="1"/>
        </w:numPr>
        <w:spacing w:after="80"/>
      </w:pPr>
      <w:r>
        <w:t xml:space="preserve">Promote/deploy the saved model to a WML Deployment Space.</w:t>
      </w:r>
    </w:p>
    <w:p>
      <w:pPr>
        <w:pStyle w:val="ListParagraph"/>
        <w:numPr>
          <w:ilvl w:val="0"/>
          <w:numId w:val="1"/>
        </w:numPr>
        <w:spacing w:after="80"/>
      </w:pPr>
      <w:r>
        <w:t xml:space="preserve">Verify the endpoint by sending a raw test-set row before touching any capture code.</w:t>
      </w:r>
    </w:p>
    <w:p>
      <w:pPr>
        <w:pStyle w:val="ListParagraph"/>
        <w:numPr>
          <w:ilvl w:val="0"/>
          <w:numId w:val="1"/>
        </w:numPr>
        <w:spacing w:after="80"/>
      </w:pPr>
      <w:r>
        <w:t xml:space="preserve">Record the exact input schema AutoAI's pipeline expects — the flow aggregator's output must be aligned to this pipeline's expected input, not assumed to match an earlier schema.</w:t>
      </w:r>
    </w:p>
    <w:p>
      <w:pPr>
        <w:pStyle w:val="Heading2"/>
        <w:spacing w:after="120" w:before="240"/>
      </w:pPr>
      <w:r>
        <w:t xml:space="preserve">Phase 2 — Flow Aggregator (local)</w:t>
      </w:r>
    </w:p>
    <w:p>
      <w:pPr>
        <w:pStyle w:val="ListParagraph"/>
        <w:numPr>
          <w:ilvl w:val="0"/>
          <w:numId w:val="1"/>
        </w:numPr>
        <w:spacing w:after="80"/>
      </w:pPr>
      <w:r>
        <w:t xml:space="preserve">Scapy sniff loop; extract the 5-tuple (src_ip, dst_ip, src_port, dst_port, protocol) per packet.</w:t>
      </w:r>
    </w:p>
    <w:p>
      <w:pPr>
        <w:pStyle w:val="ListParagraph"/>
        <w:numPr>
          <w:ilvl w:val="0"/>
          <w:numId w:val="1"/>
        </w:numPr>
        <w:spacing w:after="80"/>
      </w:pPr>
      <w:r>
        <w:t xml:space="preserve">Connection state tracker — open/close/timeout logic (background timeout thread; not optional).</w:t>
      </w:r>
    </w:p>
    <w:p>
      <w:pPr>
        <w:pStyle w:val="ListParagraph"/>
        <w:numPr>
          <w:ilvl w:val="0"/>
          <w:numId w:val="1"/>
        </w:numPr>
        <w:spacing w:after="80"/>
      </w:pPr>
      <w:r>
        <w:t xml:space="preserve">Rolling-window statistics engine for the 9 time-based features.</w:t>
      </w:r>
    </w:p>
    <w:p>
      <w:pPr>
        <w:pStyle w:val="ListParagraph"/>
        <w:numPr>
          <w:ilvl w:val="0"/>
          <w:numId w:val="1"/>
        </w:numPr>
        <w:spacing w:after="80"/>
      </w:pPr>
      <w:r>
        <w:t xml:space="preserve">Rolling last-100-connections engine for the 10 host-based features.</w:t>
      </w:r>
    </w:p>
    <w:p>
      <w:pPr>
        <w:pStyle w:val="ListParagraph"/>
        <w:numPr>
          <w:ilvl w:val="0"/>
          <w:numId w:val="1"/>
        </w:numPr>
        <w:spacing w:after="80"/>
      </w:pPr>
      <w:r>
        <w:t xml:space="preserve">Unit-test the aggregator in isolation against synthetic traffic before wiring it to the model.</w:t>
      </w:r>
    </w:p>
    <w:p>
      <w:pPr>
        <w:pStyle w:val="Heading2"/>
        <w:spacing w:after="120" w:before="240"/>
      </w:pPr>
      <w:r>
        <w:t xml:space="preserve">Phase 3 — Integration</w:t>
      </w:r>
    </w:p>
    <w:p>
      <w:pPr>
        <w:pStyle w:val="ListParagraph"/>
        <w:numPr>
          <w:ilvl w:val="0"/>
          <w:numId w:val="1"/>
        </w:numPr>
        <w:spacing w:after="80"/>
      </w:pPr>
      <w:r>
        <w:t xml:space="preserve">Aggregator output → default-fill the 13 Content features → align to the exact training column order.</w:t>
      </w:r>
    </w:p>
    <w:p>
      <w:pPr>
        <w:pStyle w:val="ListParagraph"/>
        <w:numPr>
          <w:ilvl w:val="0"/>
          <w:numId w:val="1"/>
        </w:numPr>
        <w:spacing w:after="80"/>
      </w:pPr>
      <w:r>
        <w:t xml:space="preserve">REST call to the WML endpoint; parse the response.</w:t>
      </w:r>
    </w:p>
    <w:p>
      <w:pPr>
        <w:pStyle w:val="Heading2"/>
        <w:spacing w:after="120" w:before="240"/>
      </w:pPr>
      <w:r>
        <w:t xml:space="preserve">Phase 4 — Interface</w:t>
      </w:r>
    </w:p>
    <w:p>
      <w:pPr>
        <w:pStyle w:val="ListParagraph"/>
        <w:numPr>
          <w:ilvl w:val="0"/>
          <w:numId w:val="1"/>
        </w:numPr>
        <w:spacing w:after="80"/>
      </w:pPr>
      <w:r>
        <w:t xml:space="preserve">Streamlit dashboard: live connection table, alert highlighting, mitigation panel.</w:t>
      </w:r>
    </w:p>
    <w:p>
      <w:pPr>
        <w:pStyle w:val="ListParagraph"/>
        <w:numPr>
          <w:ilvl w:val="0"/>
          <w:numId w:val="1"/>
        </w:numPr>
        <w:spacing w:after="80"/>
      </w:pPr>
      <w:r>
        <w:t xml:space="preserve">Wire in the static mitigation lookup table (Section 6).</w:t>
      </w:r>
    </w:p>
    <w:p>
      <w:pPr>
        <w:pStyle w:val="Heading2"/>
        <w:spacing w:after="120" w:before="240"/>
      </w:pPr>
      <w:r>
        <w:t xml:space="preserve">Phase 5 — Deliverables</w:t>
      </w:r>
    </w:p>
    <w:p>
      <w:pPr>
        <w:pStyle w:val="ListParagraph"/>
        <w:numPr>
          <w:ilvl w:val="0"/>
          <w:numId w:val="1"/>
        </w:numPr>
        <w:spacing w:after="80"/>
      </w:pPr>
      <w:r>
        <w:t xml:space="preserve">Written report: goal, architecture, dataset description, methodology, results (accuracy + confusion matrix + the stated Content-feature limitation), screenshots.</w:t>
      </w:r>
    </w:p>
    <w:p>
      <w:pPr>
        <w:pStyle w:val="ListParagraph"/>
        <w:numPr>
          <w:ilvl w:val="0"/>
          <w:numId w:val="1"/>
        </w:numPr>
        <w:spacing w:after="80"/>
      </w:pPr>
      <w:r>
        <w:t xml:space="preserve">Presentation deck mirroring the report structure.</w:t>
      </w:r>
    </w:p>
    <w:p>
      <w:pPr>
        <w:pStyle w:val="ListParagraph"/>
        <w:numPr>
          <w:ilvl w:val="0"/>
          <w:numId w:val="1"/>
        </w:numPr>
        <w:spacing w:after="80"/>
      </w:pPr>
      <w:r>
        <w:t xml:space="preserve">Live demo: run capture during normal browsing traffic, then run an actual Nmap scan against a test target to show a genuine, live Probe-style detection.</w:t>
      </w:r>
    </w:p>
    <w:p>
      <w:pPr>
        <w:pStyle w:val="Heading1"/>
        <w:spacing w:after="150" w:before="300"/>
      </w:pPr>
      <w:r>
        <w:t xml:space="preserve">6. Mitigation Lookup Table</w:t>
      </w:r>
    </w:p>
    <w:p>
      <w:pPr>
        <w:spacing w:after="120"/>
      </w:pPr>
      <w:r>
        <w:t xml:space="preserve">Static, not LLM-generated:</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3000"/>
        <w:gridCol w:w="8200"/>
      </w:tblGrid>
      <w:tr>
        <w:tc>
          <w:tcPr>
            <w:tcW w:type="dxa" w:w="3000"/>
            <w:shd w:fill="D9D9D9" w:val="clear"/>
          </w:tcPr>
          <w:p>
            <w:r>
              <w:rPr>
                <w:b/>
                <w:bCs/>
              </w:rPr>
              <w:t xml:space="preserve">Predicted Class</w:t>
            </w:r>
          </w:p>
        </w:tc>
        <w:tc>
          <w:tcPr>
            <w:tcW w:type="dxa" w:w="8200"/>
            <w:shd w:fill="D9D9D9" w:val="clear"/>
          </w:tcPr>
          <w:p>
            <w:r>
              <w:rPr>
                <w:b/>
                <w:bCs/>
              </w:rPr>
              <w:t xml:space="preserve">Example Recommended Action (displayed to operator, not auto-executed)</w:t>
            </w:r>
          </w:p>
        </w:tc>
      </w:tr>
      <w:tr>
        <w:tc>
          <w:tcPr>
            <w:tcW w:type="dxa" w:w="3000"/>
          </w:tcPr>
          <w:p>
            <w:r>
              <w:rPr>
                <w:b w:val="false"/>
                <w:bCs w:val="false"/>
              </w:rPr>
              <w:t xml:space="preserve">Anomaly</w:t>
            </w:r>
          </w:p>
        </w:tc>
        <w:tc>
          <w:tcPr>
            <w:tcW w:type="dxa" w:w="8200"/>
          </w:tcPr>
          <w:p>
            <w:r>
              <w:rPr>
                <w:b w:val="false"/>
                <w:bCs w:val="false"/>
              </w:rPr>
              <w:t xml:space="preserve">Flag the connection for review; log source/destination IPs, ports, and byte counts; escalate to operator for manual triage (rate-limit, block, or investigate as appropriate)</w:t>
            </w:r>
          </w:p>
        </w:tc>
      </w:tr>
      <w:tr>
        <w:tc>
          <w:tcPr>
            <w:tcW w:type="dxa" w:w="3000"/>
          </w:tcPr>
          <w:p>
            <w:r>
              <w:rPr>
                <w:b w:val="false"/>
                <w:bCs w:val="false"/>
              </w:rPr>
              <w:t xml:space="preserve">Normal</w:t>
            </w:r>
          </w:p>
        </w:tc>
        <w:tc>
          <w:tcPr>
            <w:tcW w:type="dxa" w:w="8200"/>
          </w:tcPr>
          <w:p>
            <w:r>
              <w:rPr>
                <w:b w:val="false"/>
                <w:bCs w:val="false"/>
              </w:rPr>
              <w:t xml:space="preserve">No action</w:t>
            </w:r>
          </w:p>
        </w:tc>
      </w:tr>
    </w:tbl>
    <w:p>
      <w:pPr>
        <w:spacing w:after="120"/>
      </w:pPr>
      <w:r>
        <w:t xml:space="preserve"/>
      </w:r>
    </w:p>
    <w:p>
      <w:pPr>
        <w:spacing w:after="120"/>
      </w:pPr>
      <w:r>
        <w:t xml:space="preserve">Note: because classification is binary, the mitigation panel cannot recommend an attack-type-specific action (e.g. "this looks like a port scan") — it can only say a connection is anomalous. This is a stated consequence of the binary scoping decision in Section 2a, not hidden behind vague wording.</w:t>
      </w:r>
    </w:p>
    <w:p>
      <w:pPr>
        <w:spacing w:after="120"/>
      </w:pPr>
      <w:r>
        <w:t xml:space="preserve">A human operator reviews and approves the action — nothing here executes automatically.</w:t>
      </w:r>
    </w:p>
    <w:p>
      <w:pPr>
        <w:pStyle w:val="Heading1"/>
        <w:spacing w:after="150" w:before="300"/>
      </w:pPr>
      <w:r>
        <w:t xml:space="preserve">7. Known Limitations</w:t>
      </w:r>
    </w:p>
    <w:p>
      <w:pPr>
        <w:pStyle w:val="ListParagraph"/>
        <w:numPr>
          <w:ilvl w:val="0"/>
          <w:numId w:val="1"/>
        </w:numPr>
        <w:spacing w:after="80"/>
      </w:pPr>
      <w:r>
        <w:t xml:space="preserve">Content features (13/41) are defaulted at inference time; login-abuse-style anomalies are harder to detect on live traffic than on the NSL-KDD benchmark.</w:t>
      </w:r>
    </w:p>
    <w:p>
      <w:pPr>
        <w:pStyle w:val="ListParagraph"/>
        <w:numPr>
          <w:ilvl w:val="0"/>
          <w:numId w:val="1"/>
        </w:numPr>
        <w:spacing w:after="80"/>
      </w:pPr>
      <w:r>
        <w:t xml:space="preserve">NSL-KDD is synthetic traffic from a 1998-era academic testbed; a model trained on it will not transfer perfectly to real production networks — a standard, acknowledged limitation of NSL-KDD-based research generally, not specific to this implementation.</w:t>
      </w:r>
    </w:p>
    <w:p>
      <w:pPr>
        <w:pStyle w:val="ListParagraph"/>
        <w:numPr>
          <w:ilvl w:val="0"/>
          <w:numId w:val="1"/>
        </w:numPr>
        <w:spacing w:after="80"/>
      </w:pPr>
      <w:r>
        <w:t xml:space="preserve">Mitigation actions are recommendations for a human operator, not automated enforcement — a deliberate design choice, not a missing feature.</w:t>
      </w:r>
    </w:p>
    <w:p>
      <w:pPr>
        <w:pStyle w:val="Heading1"/>
        <w:spacing w:after="150" w:before="300"/>
      </w:pPr>
      <w:r>
        <w:t xml:space="preserve">8. Deliverables Checklist</w:t>
      </w:r>
    </w:p>
    <w:p>
      <w:pPr>
        <w:pStyle w:val="ListParagraph"/>
        <w:numPr>
          <w:ilvl w:val="0"/>
          <w:numId w:val="1"/>
        </w:numPr>
        <w:spacing w:after="80"/>
      </w:pPr>
      <w:r>
        <w:t xml:space="preserve">Trained model + evaluation metrics (notebook, run in Watson Studio)</w:t>
      </w:r>
    </w:p>
    <w:p>
      <w:pPr>
        <w:pStyle w:val="ListParagraph"/>
        <w:numPr>
          <w:ilvl w:val="0"/>
          <w:numId w:val="1"/>
        </w:numPr>
        <w:spacing w:after="80"/>
      </w:pPr>
      <w:r>
        <w:t xml:space="preserve">Model deployed to WML with a working scoring endpoint</w:t>
      </w:r>
    </w:p>
    <w:p>
      <w:pPr>
        <w:pStyle w:val="ListParagraph"/>
        <w:numPr>
          <w:ilvl w:val="0"/>
          <w:numId w:val="1"/>
        </w:numPr>
        <w:spacing w:after="80"/>
      </w:pPr>
      <w:r>
        <w:t xml:space="preserve">Flow aggregator (tested in isolation against synthetic traffic)</w:t>
      </w:r>
    </w:p>
    <w:p>
      <w:pPr>
        <w:pStyle w:val="ListParagraph"/>
        <w:numPr>
          <w:ilvl w:val="0"/>
          <w:numId w:val="1"/>
        </w:numPr>
        <w:spacing w:after="80"/>
      </w:pPr>
      <w:r>
        <w:t xml:space="preserve">End-to-end integration (capture → aggregator → WML → classification)</w:t>
      </w:r>
    </w:p>
    <w:p>
      <w:pPr>
        <w:pStyle w:val="ListParagraph"/>
        <w:numPr>
          <w:ilvl w:val="0"/>
          <w:numId w:val="1"/>
        </w:numPr>
        <w:spacing w:after="80"/>
      </w:pPr>
      <w:r>
        <w:t xml:space="preserve">Streamlit dashboard</w:t>
      </w:r>
    </w:p>
    <w:p>
      <w:pPr>
        <w:pStyle w:val="ListParagraph"/>
        <w:numPr>
          <w:ilvl w:val="0"/>
          <w:numId w:val="1"/>
        </w:numPr>
        <w:spacing w:after="80"/>
      </w:pPr>
      <w:r>
        <w:t xml:space="preserve">Written report</w:t>
      </w:r>
    </w:p>
    <w:p>
      <w:pPr>
        <w:pStyle w:val="ListParagraph"/>
        <w:numPr>
          <w:ilvl w:val="0"/>
          <w:numId w:val="1"/>
        </w:numPr>
        <w:spacing w:after="80"/>
      </w:pPr>
      <w:r>
        <w:t xml:space="preserve">Presentation deck</w:t>
      </w:r>
    </w:p>
    <w:p>
      <w:pPr>
        <w:pStyle w:val="ListParagraph"/>
        <w:numPr>
          <w:ilvl w:val="0"/>
          <w:numId w:val="1"/>
        </w:numPr>
        <w:spacing w:after="80"/>
      </w:pPr>
      <w:r>
        <w:t xml:space="preserve">Live demo script (normal traffic + Nmap scan)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2026-07-13T08:01:41.359Z</dcterms:created>
  <dcterms:modified xsi:type="dcterms:W3CDTF">2026-07-13T08:01:41.377Z</dcterms:modified>
</cp:coreProperties>
</file>

<file path=docProps/custom.xml><?xml version="1.0" encoding="utf-8"?>
<Properties xmlns="http://schemas.openxmlformats.org/officeDocument/2006/custom-properties" xmlns:vt="http://schemas.openxmlformats.org/officeDocument/2006/docPropsVTypes"/>
</file>