
<file path=[Content_Types].xml><?xml version="1.0" encoding="utf-8"?>
<Types xmlns="http://schemas.openxmlformats.org/package/2006/content-types">
  <Default Extension="png" ContentType="image/png"/>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drawing>
          <wp:inline distB="114300" distT="114300" distL="114300" distR="114300">
            <wp:extent cx="939800" cy="939800"/>
            <wp:effectExtent b="0" l="0" r="0" t="0"/>
            <wp:docPr descr="Resultado de imagen para LOGO UPC" id="1" name="image1.jpg"/>
            <a:graphic>
              <a:graphicData uri="http://schemas.openxmlformats.org/drawingml/2006/picture">
                <pic:pic>
                  <pic:nvPicPr>
                    <pic:cNvPr descr="Resultado de imagen para LOGO UPC" id="0" name="image1.jpg"/>
                    <pic:cNvPicPr preferRelativeResize="0"/>
                  </pic:nvPicPr>
                  <pic:blipFill>
                    <a:blip r:embed="rId6"/>
                    <a:srcRect b="0" l="0" r="0" t="0"/>
                    <a:stretch>
                      <a:fillRect/>
                    </a:stretch>
                  </pic:blipFill>
                  <pic:spPr>
                    <a:xfrm>
                      <a:off x="0" y="0"/>
                      <a:ext cx="939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480" w:lineRule="auto"/>
        <w:jc w:val="center"/>
        <w:rPr>
          <w:b w:val="1"/>
          <w:bCs w:val="1"/>
          <w:sz w:val="4"/>
          <w:szCs w:val="4"/>
        </w:rPr>
      </w:pPr>
      <w:r w:rsidDel="00000000" w:rsidR="00000000" w:rsidRPr="00000000">
        <w:rPr>
          <w:b w:val="1"/>
          <w:bCs w:val="1"/>
          <w:sz w:val="4"/>
          <w:szCs w:val="4"/>
          <w:rtl w:val="0"/>
        </w:rPr>
        <w:t xml:space="preserve"> </w:t>
      </w:r>
    </w:p>
    <w:p w:rsidR="00000000" w:rsidDel="00000000" w:rsidP="00000000" w:rsidRDefault="00000000" w:rsidRPr="00000000" w14:paraId="00000003">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PERUANA DE CIENCIAS APLICADAS</w:t>
      </w:r>
    </w:p>
    <w:p w:rsidR="00000000" w:rsidDel="00000000" w:rsidP="00000000" w:rsidRDefault="00000000" w:rsidRPr="00000000" w14:paraId="00000004">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5">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CIENCIAS DE LA COMPUTACIÓN</w:t>
      </w:r>
    </w:p>
    <w:p w:rsidR="00000000" w:rsidDel="00000000" w:rsidP="00000000" w:rsidRDefault="00000000" w:rsidRPr="00000000" w14:paraId="00000006">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CC209 - DATA MINING TOOLS</w:t>
      </w:r>
    </w:p>
    <w:p w:rsidR="00000000" w:rsidDel="00000000" w:rsidP="00000000" w:rsidRDefault="00000000" w:rsidRPr="00000000" w14:paraId="00000007">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CARLOS FERNANDO MONTOYA CUBAS</w:t>
      </w:r>
    </w:p>
    <w:p w:rsidR="00000000" w:rsidDel="00000000" w:rsidP="00000000" w:rsidRDefault="00000000" w:rsidRPr="00000000" w14:paraId="00000008">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17496</w:t>
      </w:r>
    </w:p>
    <w:p w:rsidR="00000000" w:rsidDel="00000000" w:rsidP="00000000" w:rsidRDefault="00000000" w:rsidRPr="00000000" w14:paraId="00000009">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PARCIAL</w:t>
      </w:r>
    </w:p>
    <w:p w:rsidR="00000000" w:rsidDel="00000000" w:rsidP="00000000" w:rsidRDefault="00000000" w:rsidRPr="00000000" w14:paraId="0000000A">
      <w:pPr>
        <w:spacing w:after="16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2</w:t>
      </w:r>
    </w:p>
    <w:p w:rsidR="00000000" w:rsidDel="00000000" w:rsidP="00000000" w:rsidRDefault="00000000" w:rsidRPr="00000000" w14:paraId="0000000B">
      <w:pPr>
        <w:spacing w:after="16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D">
      <w:pPr>
        <w:spacing w:after="1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Gomez Rubina, Luis David (U20221C621) - Ciencias de la Computación</w:t>
      </w:r>
    </w:p>
    <w:p w:rsidR="00000000" w:rsidDel="00000000" w:rsidP="00000000" w:rsidRDefault="00000000" w:rsidRPr="00000000" w14:paraId="1A2B3C4D">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Miranda Cárdenas, Sofía (U20191C439) - Ciencias de la Computación</w:t>
      </w:r>
    </w:p>
    <w:p w:rsidR="00000000" w:rsidDel="00000000" w:rsidP="00000000" w:rsidRDefault="00000000" w:rsidRPr="00000000" w14:paraId="0000000F">
      <w:pPr>
        <w:spacing w:after="1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Evaluación: Semana 7</w:t>
      </w:r>
    </w:p>
    <w:p w:rsidR="00000000" w:rsidDel="00000000" w:rsidP="00000000" w:rsidRDefault="00000000" w:rsidRPr="00000000" w14:paraId="00000012">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Ciclo Académico: 202620</w:t>
      </w:r>
    </w:p>
    <w:p w:rsidR="00000000" w:rsidDel="00000000" w:rsidP="00000000" w:rsidRDefault="00000000" w:rsidRPr="00000000" w14:paraId="00000013">
      <w:pPr>
        <w:spacing w:after="160" w:line="259" w:lineRule="auto"/>
        <w:jc w:val="center"/>
        <w:rPr/>
      </w:pPr>
      <w:r w:rsidDel="00000000" w:rsidR="00000000" w:rsidRPr="00000000">
        <w:rPr>
          <w:rtl w:val="0"/>
        </w:rPr>
      </w:r>
    </w:p>
    <w:p w:rsidR="00000000" w:rsidDel="00000000" w:rsidP="00000000" w:rsidRDefault="00000000" w:rsidRPr="00000000" w14:paraId="00000014">
      <w:pPr>
        <w:spacing w:after="160" w:line="259" w:lineRule="auto"/>
        <w:jc w:val="center"/>
        <w:rPr/>
      </w:pPr>
      <w:r w:rsidDel="00000000" w:rsidR="00000000" w:rsidRPr="00000000">
        <w:rPr>
          <w:rtl w:val="0"/>
        </w:rPr>
      </w:r>
    </w:p>
    <w:p w:rsidR="00000000" w:rsidDel="00000000" w:rsidP="00000000" w:rsidRDefault="00000000" w:rsidRPr="00000000" w14:paraId="00000015">
      <w:pPr>
        <w:spacing w:after="160" w:line="259" w:lineRule="auto"/>
        <w:jc w:val="center"/>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pStyle w:val="Subtitle"/>
        <w:keepNext w:val="0"/>
        <w:keepLines w:val="0"/>
        <w:spacing w:after="240" w:before="240" w:line="240" w:lineRule="auto"/>
        <w:jc w:val="both"/>
        <w:rPr>
          <w:rFonts w:ascii="Calibri" w:cs="Calibri" w:eastAsia="Calibri" w:hAnsi="Calibri"/>
          <w:b w:val="1"/>
          <w:bCs w:val="1"/>
          <w:i w:val="0"/>
          <w:iCs w:val="0"/>
          <w:color w:val="1f497d"/>
          <w:sz w:val="28"/>
          <w:szCs w:val="28"/>
        </w:rPr>
      </w:pPr>
      <w:bookmarkStart w:colFirst="0" w:colLast="0" w:name="_a1u5m2v2rhy" w:id="0"/>
      <w:bookmarkEnd w:id="0"/>
      <w:r w:rsidDel="00000000" w:rsidR="00000000" w:rsidRPr="00000000">
        <w:rPr>
          <w:rFonts w:ascii="Calibri" w:cs="Calibri" w:eastAsia="Calibri" w:hAnsi="Calibri"/>
          <w:b w:val="1"/>
          <w:bCs w:val="1"/>
          <w:i w:val="0"/>
          <w:iCs w:val="0"/>
          <w:color w:val="000000"/>
          <w:sz w:val="28"/>
          <w:szCs w:val="28"/>
          <w:rtl w:val="0"/>
        </w:rPr>
        <w:t xml:space="preserve">Índice de Contenidos</w:t>
      </w:r>
      <w:r w:rsidDel="00000000" w:rsidR="00000000" w:rsidRPr="00000000">
        <w:rPr>
          <w:rtl w:val="0"/>
        </w:rPr>
      </w:r>
    </w:p>
    <w:p w14:paraId="2A000262">
      <w:pPr>
        <w:spacing w:after="40" w:before="100" w:lineRule="auto"/>
      </w:pPr>
      <w:r>
        <w:rPr>
          <w:rFonts w:ascii="Arial" w:cs="Arial" w:eastAsia="Arial" w:hAnsi="Arial"/>
          <w:b w:val="1"/>
          <w:bCs w:val="1"/>
          <w:sz w:val="22"/>
          <w:szCs w:val="22"/>
        </w:rPr>
        <w:t xml:space="preserve">1. Definición del Problema</w:t>
      </w:r>
    </w:p>
    <w:p w14:paraId="2A000263">
      <w:pPr>
        <w:spacing w:after="40" w:before="0" w:lineRule="auto"/>
        <w:ind w:left="425"/>
      </w:pPr>
      <w:r>
        <w:rPr>
          <w:rFonts w:ascii="Arial" w:cs="Arial" w:eastAsia="Arial" w:hAnsi="Arial"/>
          <w:sz w:val="22"/>
          <w:szCs w:val="22"/>
        </w:rPr>
        <w:t xml:space="preserve">1.1 Contexto del problema</w:t>
      </w:r>
    </w:p>
    <w:p w14:paraId="2A000264">
      <w:pPr>
        <w:spacing w:after="40" w:before="0" w:lineRule="auto"/>
        <w:ind w:left="425"/>
      </w:pPr>
      <w:r>
        <w:rPr>
          <w:rFonts w:ascii="Arial" w:cs="Arial" w:eastAsia="Arial" w:hAnsi="Arial"/>
          <w:sz w:val="22"/>
          <w:szCs w:val="22"/>
        </w:rPr>
        <w:t xml:space="preserve">1.2 Necesidad o situación que se desea abordar</w:t>
      </w:r>
    </w:p>
    <w:p w14:paraId="2A000265">
      <w:pPr>
        <w:spacing w:after="40" w:before="0" w:lineRule="auto"/>
        <w:ind w:left="425"/>
      </w:pPr>
      <w:r>
        <w:rPr>
          <w:rFonts w:ascii="Arial" w:cs="Arial" w:eastAsia="Arial" w:hAnsi="Arial"/>
          <w:sz w:val="22"/>
          <w:szCs w:val="22"/>
        </w:rPr>
        <w:t xml:space="preserve">1.3 Unidad de análisis</w:t>
      </w:r>
    </w:p>
    <w:p w14:paraId="2A000266">
      <w:pPr>
        <w:spacing w:after="40" w:before="0" w:lineRule="auto"/>
        <w:ind w:left="425"/>
      </w:pPr>
      <w:r>
        <w:rPr>
          <w:rFonts w:ascii="Arial" w:cs="Arial" w:eastAsia="Arial" w:hAnsi="Arial"/>
          <w:sz w:val="22"/>
          <w:szCs w:val="22"/>
        </w:rPr>
        <w:t xml:space="preserve">1.4 Pregunta principal del proyecto</w:t>
      </w:r>
    </w:p>
    <w:p w14:paraId="2A000267">
      <w:pPr>
        <w:spacing w:after="40" w:before="0" w:lineRule="auto"/>
        <w:ind w:left="425"/>
      </w:pPr>
      <w:r>
        <w:rPr>
          <w:rFonts w:ascii="Arial" w:cs="Arial" w:eastAsia="Arial" w:hAnsi="Arial"/>
          <w:sz w:val="22"/>
          <w:szCs w:val="22"/>
        </w:rPr>
        <w:t xml:space="preserve">1.5 Tipo de problema de Data Science</w:t>
      </w:r>
    </w:p>
    <w:p w14:paraId="2A000268">
      <w:pPr>
        <w:spacing w:after="40" w:before="0" w:lineRule="auto"/>
        <w:ind w:left="425"/>
      </w:pPr>
      <w:r>
        <w:rPr>
          <w:rFonts w:ascii="Arial" w:cs="Arial" w:eastAsia="Arial" w:hAnsi="Arial"/>
          <w:sz w:val="22"/>
          <w:szCs w:val="22"/>
        </w:rPr>
        <w:t xml:space="preserve">1.6 Utilidad esperada de la solución</w:t>
      </w:r>
    </w:p>
    <w:p w14:paraId="2A000269">
      <w:pPr>
        <w:spacing w:after="40" w:before="0" w:lineRule="auto"/>
        <w:ind w:left="425"/>
      </w:pPr>
      <w:r>
        <w:rPr>
          <w:rFonts w:ascii="Arial" w:cs="Arial" w:eastAsia="Arial" w:hAnsi="Arial"/>
          <w:sz w:val="22"/>
          <w:szCs w:val="22"/>
        </w:rPr>
        <w:t xml:space="preserve">1.7 Criterios bajo los cuales se considerará útil el resultado</w:t>
      </w:r>
    </w:p>
    <w:p w14:paraId="2A00026A">
      <w:pPr>
        <w:spacing w:after="40" w:before="100" w:lineRule="auto"/>
      </w:pPr>
      <w:r>
        <w:rPr>
          <w:rFonts w:ascii="Arial" w:cs="Arial" w:eastAsia="Arial" w:hAnsi="Arial"/>
          <w:b w:val="1"/>
          <w:bCs w:val="1"/>
          <w:sz w:val="22"/>
          <w:szCs w:val="22"/>
        </w:rPr>
        <w:t xml:space="preserve">2. Dataset y Procedencia</w:t>
      </w:r>
    </w:p>
    <w:p w14:paraId="2A00026B">
      <w:pPr>
        <w:spacing w:after="40" w:before="0" w:lineRule="auto"/>
        <w:ind w:left="425"/>
      </w:pPr>
      <w:r>
        <w:rPr>
          <w:rFonts w:ascii="Arial" w:cs="Arial" w:eastAsia="Arial" w:hAnsi="Arial"/>
          <w:sz w:val="22"/>
          <w:szCs w:val="22"/>
        </w:rPr>
        <w:t xml:space="preserve">2.1 Fuente y procedencia</w:t>
      </w:r>
    </w:p>
    <w:p w14:paraId="2A00026C">
      <w:pPr>
        <w:spacing w:after="40" w:before="0" w:lineRule="auto"/>
        <w:ind w:left="425"/>
      </w:pPr>
      <w:r>
        <w:rPr>
          <w:rFonts w:ascii="Arial" w:cs="Arial" w:eastAsia="Arial" w:hAnsi="Arial"/>
          <w:sz w:val="22"/>
          <w:szCs w:val="22"/>
        </w:rPr>
        <w:t xml:space="preserve">2.2 Número de observaciones y variables</w:t>
      </w:r>
    </w:p>
    <w:p w14:paraId="2A00026D">
      <w:pPr>
        <w:spacing w:after="40" w:before="0" w:lineRule="auto"/>
        <w:ind w:left="425"/>
      </w:pPr>
      <w:r>
        <w:rPr>
          <w:rFonts w:ascii="Arial" w:cs="Arial" w:eastAsia="Arial" w:hAnsi="Arial"/>
          <w:sz w:val="22"/>
          <w:szCs w:val="22"/>
        </w:rPr>
        <w:t xml:space="preserve">2.3 Período temporal</w:t>
      </w:r>
    </w:p>
    <w:p w14:paraId="2A00026E">
      <w:pPr>
        <w:spacing w:after="40" w:before="0" w:lineRule="auto"/>
        <w:ind w:left="425"/>
      </w:pPr>
      <w:r>
        <w:rPr>
          <w:rFonts w:ascii="Arial" w:cs="Arial" w:eastAsia="Arial" w:hAnsi="Arial"/>
          <w:sz w:val="22"/>
          <w:szCs w:val="22"/>
        </w:rPr>
        <w:t xml:space="preserve">2.4 Variable objetivo</w:t>
      </w:r>
    </w:p>
    <w:p w14:paraId="2A00026F">
      <w:pPr>
        <w:spacing w:after="40" w:before="0" w:lineRule="auto"/>
        <w:ind w:left="425"/>
      </w:pPr>
      <w:r>
        <w:rPr>
          <w:rFonts w:ascii="Arial" w:cs="Arial" w:eastAsia="Arial" w:hAnsi="Arial"/>
          <w:sz w:val="22"/>
          <w:szCs w:val="22"/>
        </w:rPr>
        <w:t xml:space="preserve">2.5 Diccionario de variables relevante</w:t>
      </w:r>
    </w:p>
    <w:p w14:paraId="2A000270">
      <w:pPr>
        <w:spacing w:after="40" w:before="0" w:lineRule="auto"/>
        <w:ind w:left="425"/>
      </w:pPr>
      <w:r>
        <w:rPr>
          <w:rFonts w:ascii="Arial" w:cs="Arial" w:eastAsia="Arial" w:hAnsi="Arial"/>
          <w:sz w:val="22"/>
          <w:szCs w:val="22"/>
        </w:rPr>
        <w:t xml:space="preserve">2.6 Licencia o condiciones de uso</w:t>
      </w:r>
    </w:p>
    <w:p w14:paraId="2A000271">
      <w:pPr>
        <w:spacing w:after="40" w:before="0" w:lineRule="auto"/>
        <w:ind w:left="425"/>
      </w:pPr>
      <w:r>
        <w:rPr>
          <w:rFonts w:ascii="Arial" w:cs="Arial" w:eastAsia="Arial" w:hAnsi="Arial"/>
          <w:sz w:val="22"/>
          <w:szCs w:val="22"/>
        </w:rPr>
        <w:t xml:space="preserve">2.7 Limitaciones conocidas del dataset</w:t>
      </w:r>
    </w:p>
    <w:p w14:paraId="2A000272">
      <w:pPr>
        <w:spacing w:after="40" w:before="0" w:lineRule="auto"/>
        <w:ind w:left="425"/>
      </w:pPr>
      <w:r>
        <w:rPr>
          <w:rFonts w:ascii="Arial" w:cs="Arial" w:eastAsia="Arial" w:hAnsi="Arial"/>
          <w:sz w:val="22"/>
          <w:szCs w:val="22"/>
        </w:rPr>
        <w:t xml:space="preserve">2.8 Justificación de por qué el dataset es adecuado para el problema</w:t>
      </w:r>
    </w:p>
    <w:p w14:paraId="2A000273">
      <w:pPr>
        <w:spacing w:after="40" w:before="100" w:lineRule="auto"/>
      </w:pPr>
      <w:r>
        <w:rPr>
          <w:rFonts w:ascii="Arial" w:cs="Arial" w:eastAsia="Arial" w:hAnsi="Arial"/>
          <w:b w:val="1"/>
          <w:bCs w:val="1"/>
          <w:sz w:val="22"/>
          <w:szCs w:val="22"/>
        </w:rPr>
        <w:t xml:space="preserve">3. Análisis Exploratorio de Datos (EDA)</w:t>
      </w:r>
    </w:p>
    <w:p w14:paraId="2A000274">
      <w:pPr>
        <w:spacing w:after="40" w:before="0" w:lineRule="auto"/>
        <w:ind w:left="425"/>
      </w:pPr>
      <w:r>
        <w:rPr>
          <w:rFonts w:ascii="Arial" w:cs="Arial" w:eastAsia="Arial" w:hAnsi="Arial"/>
          <w:sz w:val="22"/>
          <w:szCs w:val="22"/>
        </w:rPr>
        <w:t xml:space="preserve">3.1 Distribuciones relevantes</w:t>
      </w:r>
    </w:p>
    <w:p w14:paraId="2A000275">
      <w:pPr>
        <w:spacing w:after="40" w:before="0" w:lineRule="auto"/>
        <w:ind w:left="425"/>
      </w:pPr>
      <w:r>
        <w:rPr>
          <w:rFonts w:ascii="Arial" w:cs="Arial" w:eastAsia="Arial" w:hAnsi="Arial"/>
          <w:sz w:val="22"/>
          <w:szCs w:val="22"/>
        </w:rPr>
        <w:t xml:space="preserve">3.2 Análisis de la variable objetivo</w:t>
      </w:r>
    </w:p>
    <w:p w14:paraId="2A000276">
      <w:pPr>
        <w:spacing w:after="40" w:before="0" w:lineRule="auto"/>
        <w:ind w:left="425"/>
      </w:pPr>
      <w:r>
        <w:rPr>
          <w:rFonts w:ascii="Arial" w:cs="Arial" w:eastAsia="Arial" w:hAnsi="Arial"/>
          <w:sz w:val="22"/>
          <w:szCs w:val="22"/>
        </w:rPr>
        <w:t xml:space="preserve">3.3 Relaciones entre variables</w:t>
      </w:r>
    </w:p>
    <w:p w14:paraId="2A000277">
      <w:pPr>
        <w:spacing w:after="40" w:before="0" w:lineRule="auto"/>
        <w:ind w:left="425"/>
      </w:pPr>
      <w:r>
        <w:rPr>
          <w:rFonts w:ascii="Arial" w:cs="Arial" w:eastAsia="Arial" w:hAnsi="Arial"/>
          <w:sz w:val="22"/>
          <w:szCs w:val="22"/>
        </w:rPr>
        <w:t xml:space="preserve">3.4 Diferencias entre grupos</w:t>
      </w:r>
    </w:p>
    <w:p w14:paraId="2A000278">
      <w:pPr>
        <w:spacing w:after="40" w:before="0" w:lineRule="auto"/>
        <w:ind w:left="425"/>
      </w:pPr>
      <w:r>
        <w:rPr>
          <w:rFonts w:ascii="Arial" w:cs="Arial" w:eastAsia="Arial" w:hAnsi="Arial"/>
          <w:sz w:val="22"/>
          <w:szCs w:val="22"/>
        </w:rPr>
        <w:t xml:space="preserve">3.5 Posibles patrones y anomalías</w:t>
      </w:r>
    </w:p>
    <w:p w14:paraId="2A000279">
      <w:pPr>
        <w:spacing w:after="40" w:before="0" w:lineRule="auto"/>
        <w:ind w:left="425"/>
      </w:pPr>
      <w:r>
        <w:rPr>
          <w:rFonts w:ascii="Arial" w:cs="Arial" w:eastAsia="Arial" w:hAnsi="Arial"/>
          <w:sz w:val="22"/>
          <w:szCs w:val="22"/>
        </w:rPr>
        <w:t xml:space="preserve">3.6 Problemas de calidad que condicionen decisiones posteriores</w:t>
      </w:r>
    </w:p>
    <w:p w14:paraId="2A00027A">
      <w:pPr>
        <w:spacing w:after="40" w:before="100" w:lineRule="auto"/>
      </w:pPr>
      <w:r>
        <w:rPr>
          <w:rFonts w:ascii="Arial" w:cs="Arial" w:eastAsia="Arial" w:hAnsi="Arial"/>
          <w:b w:val="1"/>
          <w:bCs w:val="1"/>
          <w:sz w:val="22"/>
          <w:szCs w:val="22"/>
        </w:rPr>
        <w:t xml:space="preserve">4. Calidad y Preparación de Datos</w:t>
      </w:r>
    </w:p>
    <w:p w14:paraId="2A00027B">
      <w:pPr>
        <w:spacing w:after="40" w:before="0" w:lineRule="auto"/>
        <w:ind w:left="425"/>
      </w:pPr>
      <w:r>
        <w:rPr>
          <w:rFonts w:ascii="Arial" w:cs="Arial" w:eastAsia="Arial" w:hAnsi="Arial"/>
          <w:sz w:val="22"/>
          <w:szCs w:val="22"/>
        </w:rPr>
        <w:t xml:space="preserve">4.1 Valores faltantes</w:t>
      </w:r>
    </w:p>
    <w:p w14:paraId="2A00027C">
      <w:pPr>
        <w:spacing w:after="40" w:before="0" w:lineRule="auto"/>
        <w:ind w:left="425"/>
      </w:pPr>
      <w:r>
        <w:rPr>
          <w:rFonts w:ascii="Arial" w:cs="Arial" w:eastAsia="Arial" w:hAnsi="Arial"/>
          <w:sz w:val="22"/>
          <w:szCs w:val="22"/>
        </w:rPr>
        <w:t xml:space="preserve">4.2 Duplicados</w:t>
      </w:r>
    </w:p>
    <w:p w14:paraId="2A00027D">
      <w:pPr>
        <w:spacing w:after="40" w:before="0" w:lineRule="auto"/>
        <w:ind w:left="425"/>
      </w:pPr>
      <w:r>
        <w:rPr>
          <w:rFonts w:ascii="Arial" w:cs="Arial" w:eastAsia="Arial" w:hAnsi="Arial"/>
          <w:sz w:val="22"/>
          <w:szCs w:val="22"/>
        </w:rPr>
        <w:t xml:space="preserve">4.3 Tipos de datos</w:t>
      </w:r>
    </w:p>
    <w:p w14:paraId="2A00027E">
      <w:pPr>
        <w:spacing w:after="40" w:before="0" w:lineRule="auto"/>
        <w:ind w:left="425"/>
      </w:pPr>
      <w:r>
        <w:rPr>
          <w:rFonts w:ascii="Arial" w:cs="Arial" w:eastAsia="Arial" w:hAnsi="Arial"/>
          <w:sz w:val="22"/>
          <w:szCs w:val="22"/>
        </w:rPr>
        <w:t xml:space="preserve">4.4 Categorías inconsistentes</w:t>
      </w:r>
    </w:p>
    <w:p w14:paraId="2A00027F">
      <w:pPr>
        <w:spacing w:after="40" w:before="0" w:lineRule="auto"/>
        <w:ind w:left="425"/>
      </w:pPr>
      <w:r>
        <w:rPr>
          <w:rFonts w:ascii="Arial" w:cs="Arial" w:eastAsia="Arial" w:hAnsi="Arial"/>
          <w:sz w:val="22"/>
          <w:szCs w:val="22"/>
        </w:rPr>
        <w:t xml:space="preserve">4.5 Outliers o valores extremos</w:t>
      </w:r>
    </w:p>
    <w:p w14:paraId="2A000280">
      <w:pPr>
        <w:spacing w:after="40" w:before="0" w:lineRule="auto"/>
        <w:ind w:left="425"/>
      </w:pPr>
      <w:r>
        <w:rPr>
          <w:rFonts w:ascii="Arial" w:cs="Arial" w:eastAsia="Arial" w:hAnsi="Arial"/>
          <w:sz w:val="22"/>
          <w:szCs w:val="22"/>
        </w:rPr>
        <w:t xml:space="preserve">4.6 Reglas lógicas o de negocio</w:t>
      </w:r>
    </w:p>
    <w:p w14:paraId="2A000281">
      <w:pPr>
        <w:spacing w:after="40" w:before="0" w:lineRule="auto"/>
        <w:ind w:left="425"/>
      </w:pPr>
      <w:r>
        <w:rPr>
          <w:rFonts w:ascii="Arial" w:cs="Arial" w:eastAsia="Arial" w:hAnsi="Arial"/>
          <w:sz w:val="22"/>
          <w:szCs w:val="22"/>
        </w:rPr>
        <w:t xml:space="preserve">4.7 Transformaciones realizadas</w:t>
      </w:r>
    </w:p>
    <w:p w14:paraId="2A000282">
      <w:pPr>
        <w:spacing w:after="40" w:before="100" w:lineRule="auto"/>
      </w:pPr>
      <w:r>
        <w:rPr>
          <w:rFonts w:ascii="Arial" w:cs="Arial" w:eastAsia="Arial" w:hAnsi="Arial"/>
          <w:b w:val="1"/>
          <w:bCs w:val="1"/>
          <w:sz w:val="22"/>
          <w:szCs w:val="22"/>
        </w:rPr>
        <w:t xml:space="preserve">5. Separación de Datos</w:t>
      </w:r>
    </w:p>
    <w:p w14:paraId="2A000283">
      <w:pPr>
        <w:spacing w:after="40" w:before="0" w:lineRule="auto"/>
        <w:ind w:left="425"/>
      </w:pPr>
      <w:r>
        <w:rPr>
          <w:rFonts w:ascii="Arial" w:cs="Arial" w:eastAsia="Arial" w:hAnsi="Arial"/>
          <w:sz w:val="22"/>
          <w:szCs w:val="22"/>
        </w:rPr>
        <w:t xml:space="preserve">5.1 Estrategia de separación</w:t>
      </w:r>
    </w:p>
    <w:p w14:paraId="2A000284">
      <w:pPr>
        <w:spacing w:after="40" w:before="0" w:lineRule="auto"/>
        <w:ind w:left="425"/>
      </w:pPr>
      <w:r>
        <w:rPr>
          <w:rFonts w:ascii="Arial" w:cs="Arial" w:eastAsia="Arial" w:hAnsi="Arial"/>
          <w:sz w:val="22"/>
          <w:szCs w:val="22"/>
        </w:rPr>
        <w:t xml:space="preserve">5.2 Proporciones utilizadas</w:t>
      </w:r>
    </w:p>
    <w:p w14:paraId="2A000285">
      <w:pPr>
        <w:spacing w:after="40" w:before="0" w:lineRule="auto"/>
        <w:ind w:left="425"/>
      </w:pPr>
      <w:r>
        <w:rPr>
          <w:rFonts w:ascii="Arial" w:cs="Arial" w:eastAsia="Arial" w:hAnsi="Arial"/>
          <w:sz w:val="22"/>
          <w:szCs w:val="22"/>
        </w:rPr>
        <w:t xml:space="preserve">5.3 Razón de dicha elección</w:t>
      </w:r>
    </w:p>
    <w:p w14:paraId="2A000286">
      <w:pPr>
        <w:spacing w:after="40" w:before="0" w:lineRule="auto"/>
        <w:ind w:left="425"/>
      </w:pPr>
      <w:r>
        <w:rPr>
          <w:rFonts w:ascii="Arial" w:cs="Arial" w:eastAsia="Arial" w:hAnsi="Arial"/>
          <w:sz w:val="22"/>
          <w:szCs w:val="22"/>
        </w:rPr>
        <w:t xml:space="preserve">5.4 Medidas adoptadas para evitar data leakage</w:t>
      </w:r>
    </w:p>
    <w:p w14:paraId="2A000287">
      <w:pPr>
        <w:spacing w:after="40" w:before="100" w:lineRule="auto"/>
      </w:pPr>
      <w:r>
        <w:rPr>
          <w:rFonts w:ascii="Arial" w:cs="Arial" w:eastAsia="Arial" w:hAnsi="Arial"/>
          <w:b w:val="1"/>
          <w:bCs w:val="1"/>
          <w:sz w:val="22"/>
          <w:szCs w:val="22"/>
        </w:rPr>
        <w:t xml:space="preserve">6. Flujo Reproducible de Preprocesamiento</w:t>
      </w:r>
    </w:p>
    <w:p w14:paraId="2A000288">
      <w:pPr>
        <w:spacing w:after="40" w:before="0" w:lineRule="auto"/>
        <w:ind w:left="425"/>
      </w:pPr>
      <w:r>
        <w:rPr>
          <w:rFonts w:ascii="Arial" w:cs="Arial" w:eastAsia="Arial" w:hAnsi="Arial"/>
          <w:sz w:val="22"/>
          <w:szCs w:val="22"/>
        </w:rPr>
        <w:t xml:space="preserve">6.1 Matriz de decisiones de herramientas</w:t>
      </w:r>
    </w:p>
    <w:p w14:paraId="2A000289">
      <w:pPr>
        <w:spacing w:after="40" w:before="100" w:lineRule="auto"/>
      </w:pPr>
      <w:r>
        <w:rPr>
          <w:rFonts w:ascii="Arial" w:cs="Arial" w:eastAsia="Arial" w:hAnsi="Arial"/>
          <w:b w:val="1"/>
          <w:bCs w:val="1"/>
          <w:sz w:val="22"/>
          <w:szCs w:val="22"/>
        </w:rPr>
        <w:t xml:space="preserve">7. Baseline</w:t>
      </w:r>
    </w:p>
    <w:p w14:paraId="2A00028A">
      <w:pPr>
        <w:spacing w:after="40" w:before="100" w:lineRule="auto"/>
      </w:pPr>
      <w:r>
        <w:rPr>
          <w:rFonts w:ascii="Arial" w:cs="Arial" w:eastAsia="Arial" w:hAnsi="Arial"/>
          <w:b w:val="1"/>
          <w:bCs w:val="1"/>
          <w:sz w:val="22"/>
          <w:szCs w:val="22"/>
        </w:rPr>
        <w:t xml:space="preserve">8. Modelos Preliminares</w:t>
      </w:r>
    </w:p>
    <w:p w14:paraId="2A00028B">
      <w:pPr>
        <w:spacing w:after="40" w:before="100" w:lineRule="auto"/>
      </w:pPr>
      <w:r>
        <w:rPr>
          <w:rFonts w:ascii="Arial" w:cs="Arial" w:eastAsia="Arial" w:hAnsi="Arial"/>
          <w:b w:val="1"/>
          <w:bCs w:val="1"/>
          <w:sz w:val="22"/>
          <w:szCs w:val="22"/>
        </w:rPr>
        <w:t xml:space="preserve">9. Evaluación Preliminar</w:t>
      </w:r>
    </w:p>
    <w:p w14:paraId="2A00028C">
      <w:pPr>
        <w:spacing w:after="40" w:before="0" w:lineRule="auto"/>
        <w:ind w:left="425"/>
      </w:pPr>
      <w:r>
        <w:rPr>
          <w:rFonts w:ascii="Arial" w:cs="Arial" w:eastAsia="Arial" w:hAnsi="Arial"/>
          <w:sz w:val="22"/>
          <w:szCs w:val="22"/>
        </w:rPr>
        <w:t xml:space="preserve">9.1 Métricas seleccionadas y justificación</w:t>
      </w:r>
    </w:p>
    <w:p w14:paraId="2A00028D">
      <w:pPr>
        <w:spacing w:after="40" w:before="0" w:lineRule="auto"/>
        <w:ind w:left="425"/>
      </w:pPr>
      <w:r>
        <w:rPr>
          <w:rFonts w:ascii="Arial" w:cs="Arial" w:eastAsia="Arial" w:hAnsi="Arial"/>
          <w:sz w:val="22"/>
          <w:szCs w:val="22"/>
        </w:rPr>
        <w:t xml:space="preserve">9.2 Resultados en el conjunto de validación</w:t>
      </w:r>
    </w:p>
    <w:p w14:paraId="2A00028E">
      <w:pPr>
        <w:spacing w:after="40" w:before="0" w:lineRule="auto"/>
        <w:ind w:left="425"/>
      </w:pPr>
      <w:r>
        <w:rPr>
          <w:rFonts w:ascii="Arial" w:cs="Arial" w:eastAsia="Arial" w:hAnsi="Arial"/>
          <w:sz w:val="22"/>
          <w:szCs w:val="22"/>
        </w:rPr>
        <w:t xml:space="preserve">9.3 Análisis del umbral de decisión</w:t>
      </w:r>
    </w:p>
    <w:p w14:paraId="2A00028F">
      <w:pPr>
        <w:spacing w:after="40" w:before="0" w:lineRule="auto"/>
        <w:ind w:left="425"/>
      </w:pPr>
      <w:r>
        <w:rPr>
          <w:rFonts w:ascii="Arial" w:cs="Arial" w:eastAsia="Arial" w:hAnsi="Arial"/>
          <w:sz w:val="22"/>
          <w:szCs w:val="22"/>
        </w:rPr>
        <w:t xml:space="preserve">9.4 Interpretación de los resultados</w:t>
      </w:r>
    </w:p>
    <w:p w14:paraId="2A000290">
      <w:pPr>
        <w:spacing w:after="40" w:before="100" w:lineRule="auto"/>
      </w:pPr>
      <w:r>
        <w:rPr>
          <w:rFonts w:ascii="Arial" w:cs="Arial" w:eastAsia="Arial" w:hAnsi="Arial"/>
          <w:b w:val="1"/>
          <w:bCs w:val="1"/>
          <w:sz w:val="22"/>
          <w:szCs w:val="22"/>
        </w:rPr>
        <w:t xml:space="preserve">10. Estado del Proyecto y Plan hacia el TF1</w:t>
      </w:r>
    </w:p>
    <w:p w14:paraId="2A000291">
      <w:pPr>
        <w:spacing w:after="40" w:before="100" w:lineRule="auto"/>
      </w:pPr>
      <w:r>
        <w:rPr>
          <w:rFonts w:ascii="Arial" w:cs="Arial" w:eastAsia="Arial" w:hAnsi="Arial"/>
          <w:b w:val="1"/>
          <w:bCs w:val="1"/>
          <w:sz w:val="22"/>
          <w:szCs w:val="22"/>
        </w:rPr>
        <w:t xml:space="preserve">Glosario</w:t>
      </w:r>
    </w:p>
    <w:p w14:paraId="2A000292">
      <w:pPr>
        <w:spacing w:after="40" w:before="100" w:lineRule="auto"/>
      </w:pPr>
      <w:r>
        <w:rPr>
          <w:rFonts w:ascii="Arial" w:cs="Arial" w:eastAsia="Arial" w:hAnsi="Arial"/>
          <w:b w:val="1"/>
          <w:bCs w:val="1"/>
          <w:sz w:val="22"/>
          <w:szCs w:val="22"/>
        </w:rPr>
        <w:t xml:space="preserve">Siglario</w:t>
      </w:r>
    </w:p>
    <w:p w14:paraId="2A000293">
      <w:pPr>
        <w:spacing w:after="40" w:before="100" w:lineRule="auto"/>
      </w:pPr>
      <w:r>
        <w:rPr>
          <w:rFonts w:ascii="Arial" w:cs="Arial" w:eastAsia="Arial" w:hAnsi="Arial"/>
          <w:b w:val="1"/>
          <w:bCs w:val="1"/>
          <w:sz w:val="22"/>
          <w:szCs w:val="22"/>
        </w:rPr>
        <w:t xml:space="preserve">Bibliografía</w:t>
      </w:r>
    </w:p>
    <w:p w14:paraId="2A000294">
      <w:r>
        <w:br w:type="page"/>
      </w:r>
    </w:p>
    <w:p w:rsidR="00000000" w:rsidDel="00000000" w:rsidP="00000000" w:rsidRDefault="00000000" w:rsidRPr="00000000" w14:paraId="00000046">
      <w:pPr>
        <w:spacing w:after="240" w:before="240" w:lineRule="auto"/>
        <w:rPr>
          <w:b w:val="1"/>
          <w:bCs w:val="1"/>
          <w:sz w:val="36"/>
          <w:szCs w:val="36"/>
        </w:rPr>
      </w:pPr>
      <w:r w:rsidDel="00000000" w:rsidR="00000000" w:rsidRPr="00000000">
        <w:rPr>
          <w:b w:val="1"/>
          <w:bCs w:val="1"/>
          <w:sz w:val="36"/>
          <w:szCs w:val="36"/>
          <w:rtl w:val="0"/>
        </w:rPr>
        <w:t xml:space="preserve">1.Definicion del Problema</w:t>
      </w:r>
    </w:p>
    <w:p w:rsidR="00000000" w:rsidDel="00000000" w:rsidP="00000000" w:rsidRDefault="00000000" w:rsidRPr="00000000" w14:paraId="00000047">
      <w:pPr>
        <w:spacing w:after="240" w:before="240" w:lineRule="auto"/>
        <w:rPr>
          <w:sz w:val="32"/>
          <w:szCs w:val="32"/>
        </w:rPr>
      </w:pPr>
      <w:r w:rsidDel="00000000" w:rsidR="00000000" w:rsidRPr="00000000">
        <w:rPr>
          <w:b w:val="1"/>
          <w:bCs w:val="1"/>
          <w:sz w:val="32"/>
          <w:szCs w:val="32"/>
          <w:rtl w:val="0"/>
        </w:rPr>
        <w:t xml:space="preserve">1.1</w:t>
      </w:r>
      <w:r w:rsidDel="00000000" w:rsidR="00000000" w:rsidRPr="00000000">
        <w:rPr>
          <w:sz w:val="32"/>
          <w:szCs w:val="32"/>
          <w:rtl w:val="0"/>
        </w:rPr>
        <w:t xml:space="preserve"> </w:t>
      </w:r>
      <w:r w:rsidDel="00000000" w:rsidR="00000000" w:rsidRPr="00000000">
        <w:rPr>
          <w:b w:val="1"/>
          <w:bCs w:val="1"/>
          <w:sz w:val="32"/>
          <w:szCs w:val="32"/>
          <w:rtl w:val="0"/>
        </w:rPr>
        <w:t xml:space="preserve">Contexto del Problema</w:t>
      </w:r>
      <w:r w:rsidDel="00000000" w:rsidR="00000000" w:rsidRPr="00000000">
        <w:rPr>
          <w:rtl w:val="0"/>
        </w:rPr>
      </w:r>
    </w:p>
    <w:p w:rsidR="00000000" w:rsidDel="00000000" w:rsidP="00000000" w:rsidRDefault="00000000" w:rsidRPr="00000000" w14:paraId="000000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cáncer de tiroides es una de las neoplasias malignas del sistema endocrino más comunes a nivel mundial. Su detección temprana y una evaluación precisa del riesgo son fundamentales para definir tratamientos oportunos y evitar intervenciones quirúrgicas innecesarias en pacientes con nódulos benignos. Sin embargo, la evaluación clínica tradicional depende de múltiples factores complejos (historial clínico, exposición a radiación, niveles de hormonas tiroideas como TSH, T3, T4 y características físicas del nódulo como su tamaño), lo que puede generar variabilidad en el diagnóstico y retrasos en la identificación de pacientes de alto riesgo. </w:t>
      </w:r>
    </w:p>
    <w:p w:rsidR="00000000" w:rsidDel="00000000" w:rsidP="00000000" w:rsidRDefault="00000000" w:rsidRPr="00000000" w14:paraId="00000049">
      <w:pPr>
        <w:spacing w:after="240" w:before="240" w:lineRule="auto"/>
        <w:rPr>
          <w:sz w:val="32"/>
          <w:szCs w:val="32"/>
        </w:rPr>
      </w:pPr>
      <w:r w:rsidDel="00000000" w:rsidR="00000000" w:rsidRPr="00000000">
        <w:rPr>
          <w:b w:val="1"/>
          <w:bCs w:val="1"/>
          <w:sz w:val="32"/>
          <w:szCs w:val="32"/>
          <w:rtl w:val="0"/>
        </w:rPr>
        <w:t xml:space="preserve">1.2  Necesidad o situación que se desea abordar</w:t>
      </w:r>
      <w:r w:rsidDel="00000000" w:rsidR="00000000" w:rsidRPr="00000000">
        <w:rPr>
          <w:rtl w:val="0"/>
        </w:rPr>
      </w:r>
    </w:p>
    <w:p w:rsidR="00000000" w:rsidDel="00000000" w:rsidP="00000000" w:rsidRDefault="00000000" w:rsidRPr="00000000" w14:paraId="000000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Existe la necesidad de automatizar y optimizar el proceso de estratificación del riesgo y diagnóstico del cáncer de tiroides basándose en datos clínicos e historiales de los pacientes. Actualmente, los médicos se enfrentan al reto de integrar una gran cantidad de variables heterogéneas (factores de riesgo genéticos, ambientales, hormonales y biométricas) para determinar si un paciente presenta un riesgo elevado o bajo de desarrollar cáncer, así como si el diagnóstico definitivo será benigno o maligno. Se requiere una herramienta objetiva que apoye la toma de decisiones clínicas para reducir el diagnóstico tardío y las biopsias o cirugías innecesarias. </w:t>
      </w:r>
    </w:p>
    <w:p w:rsidR="00000000" w:rsidDel="00000000" w:rsidP="00000000" w:rsidRDefault="00000000" w:rsidRPr="00000000" w14:paraId="0000004B">
      <w:pPr>
        <w:spacing w:after="240" w:before="240" w:lineRule="auto"/>
        <w:rPr>
          <w:b w:val="1"/>
          <w:bCs w:val="1"/>
          <w:sz w:val="32"/>
          <w:szCs w:val="32"/>
        </w:rPr>
      </w:pPr>
      <w:r w:rsidDel="00000000" w:rsidR="00000000" w:rsidRPr="00000000">
        <w:rPr>
          <w:b w:val="1"/>
          <w:bCs w:val="1"/>
          <w:sz w:val="32"/>
          <w:szCs w:val="32"/>
          <w:rtl w:val="0"/>
        </w:rPr>
        <w:t xml:space="preserve">1.3 Unidad de análisis </w:t>
      </w:r>
    </w:p>
    <w:p w:rsidR="00000000" w:rsidDel="00000000" w:rsidP="00000000" w:rsidRDefault="00000000" w:rsidRPr="00000000" w14:paraId="000000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paciente individual registrado en la base de datos (identificado por </w:t>
      </w:r>
      <w:r w:rsidDel="00000000" w:rsidR="00000000" w:rsidRPr="00000000">
        <w:rPr>
          <w:rFonts w:ascii="Arial" w:cs="Arial" w:eastAsia="Arial" w:hAnsi="Arial"/>
          <w:sz w:val="24"/>
          <w:szCs w:val="24"/>
          <w:rtl w:val="0"/>
        </w:rPr>
        <w:t xml:space="preserve">Patient_ID</w:t>
      </w:r>
      <w:r w:rsidDel="00000000" w:rsidR="00000000" w:rsidRPr="00000000">
        <w:rPr>
          <w:rFonts w:ascii="Arial" w:cs="Arial" w:eastAsia="Arial" w:hAnsi="Arial"/>
          <w:sz w:val="24"/>
          <w:szCs w:val="24"/>
          <w:rtl w:val="0"/>
        </w:rPr>
        <w:t xml:space="preserve">), el cual cuenta con un perfil único que abarca datos demográficos, antecedentes médicos, perfiles hormonales y características clínicas de sus nódulos tiroideos. </w:t>
      </w:r>
    </w:p>
    <w:p w:rsidR="00000000" w:rsidDel="00000000" w:rsidP="00000000" w:rsidRDefault="00000000" w:rsidRPr="00000000" w14:paraId="0000004D">
      <w:pPr>
        <w:spacing w:after="240" w:before="240" w:lineRule="auto"/>
        <w:rPr>
          <w:b w:val="1"/>
          <w:bCs w:val="1"/>
          <w:sz w:val="32"/>
          <w:szCs w:val="32"/>
        </w:rPr>
      </w:pPr>
      <w:r w:rsidDel="00000000" w:rsidR="00000000" w:rsidRPr="00000000">
        <w:rPr>
          <w:b w:val="1"/>
          <w:bCs w:val="1"/>
          <w:sz w:val="32"/>
          <w:szCs w:val="32"/>
          <w:rtl w:val="0"/>
        </w:rPr>
        <w:t xml:space="preserve">1.4 Pregunta principal del proyecto </w:t>
      </w:r>
    </w:p>
    <w:p w14:paraId="2A00025F">
      <w:pPr>
        <w:spacing w:after="120" w:before="120" w:line="276" w:lineRule="auto"/>
        <w:jc w:val="both"/>
      </w:pPr>
      <w:r>
        <w:rPr>
          <w:rFonts w:ascii="Arial" w:cs="Arial" w:eastAsia="Arial" w:hAnsi="Arial"/>
          <w:sz w:val="24"/>
          <w:szCs w:val="24"/>
        </w:rPr>
        <w:t xml:space="preserve">¿Con qué capacidad se puede distinguir un diagnóstico maligno de uno benigno a partir de las características demográficas, antecedentes de exposición, perfil hormonal (TSH, T3, T4) y tamaño del nódulo tiroideo de un paciente, y qué factores aportan esa capacidad predictiva?</w:t>
      </w:r>
    </w:p>
    <w:p w:rsidR="00000000" w:rsidDel="00000000" w:rsidP="00000000" w:rsidRDefault="00000000" w:rsidRPr="00000000" w14:paraId="0000004F">
      <w:pPr>
        <w:spacing w:after="240" w:before="240" w:lineRule="auto"/>
        <w:rPr>
          <w:b w:val="1"/>
          <w:bCs w:val="1"/>
          <w:sz w:val="30"/>
          <w:szCs w:val="30"/>
        </w:rPr>
      </w:pPr>
      <w:r w:rsidDel="00000000" w:rsidR="00000000" w:rsidRPr="00000000">
        <w:rPr>
          <w:b w:val="1"/>
          <w:bCs w:val="1"/>
          <w:sz w:val="32"/>
          <w:szCs w:val="32"/>
          <w:rtl w:val="0"/>
        </w:rPr>
        <w:t xml:space="preserve">1.5 Tipo de problema de Data Science </w:t>
      </w:r>
      <w:r w:rsidDel="00000000" w:rsidR="00000000" w:rsidRPr="00000000">
        <w:rPr>
          <w:rtl w:val="0"/>
        </w:rPr>
      </w:r>
    </w:p>
    <w:p w14:paraId="2A000260">
      <w:pPr>
        <w:spacing w:after="120" w:before="120" w:line="276" w:lineRule="auto"/>
        <w:jc w:val="both"/>
      </w:pPr>
      <w:r>
        <w:rPr>
          <w:rFonts w:ascii="Arial" w:cs="Arial" w:eastAsia="Arial" w:hAnsi="Arial"/>
          <w:sz w:val="24"/>
          <w:szCs w:val="24"/>
        </w:rPr>
        <w:t xml:space="preserve">Clasificación binaria supervisada: predecir el diagnóstico final (Benign vs. Malignant) a partir de las variables del paciente. Las clases están desbalanceadas (23.3 % malignos). La variable Thyroid_Cancer_Risk no se modela como objetivo: se utiliza únicamente como regla de referencia (ver secciones 3.5 y 7).</w:t>
      </w:r>
    </w:p>
    <w:p w:rsidR="00000000" w:rsidDel="00000000" w:rsidP="00000000" w:rsidRDefault="00000000" w:rsidRPr="00000000" w14:paraId="00000052">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3">
      <w:pPr>
        <w:spacing w:after="240" w:before="240" w:lineRule="auto"/>
        <w:ind w:left="0" w:firstLine="0"/>
        <w:rPr>
          <w:b w:val="1"/>
          <w:bCs w:val="1"/>
          <w:sz w:val="32"/>
          <w:szCs w:val="32"/>
        </w:rPr>
      </w:pPr>
      <w:r w:rsidDel="00000000" w:rsidR="00000000" w:rsidRPr="00000000">
        <w:rPr>
          <w:b w:val="1"/>
          <w:bCs w:val="1"/>
          <w:sz w:val="32"/>
          <w:szCs w:val="32"/>
          <w:rtl w:val="0"/>
        </w:rPr>
        <w:t xml:space="preserve">1.6 Utilidad esperada de la solución </w:t>
      </w:r>
    </w:p>
    <w:p w:rsidR="00000000" w:rsidDel="00000000" w:rsidP="00000000" w:rsidRDefault="00000000" w:rsidRPr="00000000" w14:paraId="000000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Apoyo a la decisión clínica (CDS): Proveer a los endocrinólogos y oncólogos una herramienta predictiva rápida y confiable que complemente el juicio médico experto.</w:t>
        <w:br w:type="textWrapping"/>
        <w:t xml:space="preserve">Optimización de recursos médicos: Reducir la cantidad de procedimientos invasivos (como biopsias o cirugías exploratorias) en pacientes con bajo riesgo o nódulos benignos.</w:t>
        <w:br w:type="textWrapping"/>
        <w:t xml:space="preserve">Detección temprana: Identificar de manera proactiva a los pacientes con mayor probabilidad de presentar cuadros malignos, permitiendo iniciar tratamientos oportunos que mejoren el pronóstico de vida.</w:t>
      </w:r>
    </w:p>
    <w:p w:rsidR="00000000" w:rsidDel="00000000" w:rsidP="00000000" w:rsidRDefault="00000000" w:rsidRPr="00000000" w14:paraId="00000055">
      <w:pPr>
        <w:spacing w:after="240" w:before="240" w:lineRule="auto"/>
        <w:rPr>
          <w:b w:val="1"/>
          <w:bCs w:val="1"/>
          <w:sz w:val="32"/>
          <w:szCs w:val="32"/>
        </w:rPr>
      </w:pPr>
      <w:r w:rsidDel="00000000" w:rsidR="00000000" w:rsidRPr="00000000">
        <w:rPr>
          <w:b w:val="1"/>
          <w:bCs w:val="1"/>
          <w:sz w:val="32"/>
          <w:szCs w:val="32"/>
          <w:rtl w:val="0"/>
        </w:rPr>
        <w:t xml:space="preserve">1.7 Criterios bajo los cuales se considerará útil el resultado </w:t>
      </w:r>
    </w:p>
    <w:p w14:paraId="2A000261">
      <w:pPr>
        <w:spacing w:after="120" w:before="120" w:line="276" w:lineRule="auto"/>
        <w:jc w:val="both"/>
      </w:pPr>
      <w:r>
        <w:rPr>
          <w:rFonts w:ascii="Arial" w:cs="Arial" w:eastAsia="Arial" w:hAnsi="Arial"/>
          <w:b w:val="1"/>
          <w:bCs w:val="1"/>
          <w:sz w:val="24"/>
          <w:szCs w:val="24"/>
        </w:rPr>
        <w:t xml:space="preserve">Rendimiento predictivo:</w:t>
      </w:r>
      <w:r>
        <w:rPr>
          <w:rFonts w:ascii="Arial" w:cs="Arial" w:eastAsia="Arial" w:hAnsi="Arial"/>
          <w:sz w:val="24"/>
          <w:szCs w:val="24"/>
        </w:rPr>
        <w:t xml:space="preserve"> superar claramente al baseline trivial en ROC-AUC y PR-AUC, y mejorar el recall de la clase Malignant frente a una regla simple del dominio sin elevar de forma desproporcionada los falsos positivos (precisión mínima aceptable a definir en el TF1). </w:t>
      </w:r>
      <w:r>
        <w:rPr>
          <w:rFonts w:ascii="Arial" w:cs="Arial" w:eastAsia="Arial" w:hAnsi="Arial"/>
          <w:b w:val="1"/>
          <w:bCs w:val="1"/>
          <w:sz w:val="24"/>
          <w:szCs w:val="24"/>
        </w:rPr>
        <w:t xml:space="preserve">Interpretabilidad clínica:</w:t>
      </w:r>
      <w:r>
        <w:rPr>
          <w:rFonts w:ascii="Arial" w:cs="Arial" w:eastAsia="Arial" w:hAnsi="Arial"/>
          <w:sz w:val="24"/>
          <w:szCs w:val="24"/>
        </w:rPr>
        <w:t xml:space="preserve"> que el modelo permita identificar qué variables tienen mayor peso y que estas sean coherentes con el conocimiento médico. </w:t>
      </w:r>
      <w:r>
        <w:rPr>
          <w:rFonts w:ascii="Arial" w:cs="Arial" w:eastAsia="Arial" w:hAnsi="Arial"/>
          <w:b w:val="1"/>
          <w:bCs w:val="1"/>
          <w:sz w:val="24"/>
          <w:szCs w:val="24"/>
        </w:rPr>
        <w:t xml:space="preserve">Uso práctico:</w:t>
      </w:r>
      <w:r>
        <w:rPr>
          <w:rFonts w:ascii="Arial" w:cs="Arial" w:eastAsia="Arial" w:hAnsi="Arial"/>
          <w:sz w:val="24"/>
          <w:szCs w:val="24"/>
        </w:rPr>
        <w:t xml:space="preserve"> que el modelo pueda aplicarse a nuevos pacientes mediante un flujo reproducible (Pipeline) y, en el TF1, una interfaz sencilla.</w:t>
      </w:r>
    </w:p>
    <w:p w14:paraId="2A000001">
      <w:pPr>
        <w:spacing w:after="240" w:before="240" w:lineRule="auto"/>
      </w:pPr>
      <w:r>
        <w:br w:type="page"/>
      </w:r>
      <w:r>
        <w:rPr>
          <w:b w:val="1"/>
          <w:bCs w:val="1"/>
          <w:sz w:val="36"/>
          <w:szCs w:val="36"/>
        </w:rPr>
        <w:t xml:space="preserve">2. Dataset y Procedencia</w:t>
      </w:r>
    </w:p>
    <w:p w14:paraId="2A000002">
      <w:pPr>
        <w:keepNext/>
        <w:spacing w:after="160" w:before="240" w:lineRule="auto"/>
      </w:pPr>
      <w:r>
        <w:rPr>
          <w:b w:val="1"/>
          <w:bCs w:val="1"/>
          <w:sz w:val="32"/>
          <w:szCs w:val="32"/>
        </w:rPr>
        <w:t xml:space="preserve">2.1 Fuente y procedencia</w:t>
      </w:r>
    </w:p>
    <w:p w14:paraId="2A000003">
      <w:pPr>
        <w:spacing w:after="120" w:before="120" w:line="276" w:lineRule="auto"/>
        <w:jc w:val="both"/>
      </w:pPr>
      <w:r>
        <w:rPr>
          <w:rFonts w:ascii="Arial" w:cs="Arial" w:eastAsia="Arial" w:hAnsi="Arial"/>
          <w:sz w:val="24"/>
          <w:szCs w:val="24"/>
        </w:rPr>
        <w:t xml:space="preserve">El conjunto de datos proviene de la plataforma pública Kaggle: </w:t>
      </w:r>
      <w:r>
        <w:rPr>
          <w:rFonts w:ascii="Arial" w:cs="Arial" w:eastAsia="Arial" w:hAnsi="Arial"/>
          <w:b w:val="1"/>
          <w:bCs w:val="1"/>
          <w:sz w:val="24"/>
          <w:szCs w:val="24"/>
        </w:rPr>
        <w:t xml:space="preserve">Thyroid Cancer Risk Prediction Dataset</w:t>
      </w:r>
      <w:r>
        <w:rPr>
          <w:rFonts w:ascii="Arial" w:cs="Arial" w:eastAsia="Arial" w:hAnsi="Arial"/>
          <w:sz w:val="24"/>
          <w:szCs w:val="24"/>
        </w:rPr>
        <w:t xml:space="preserve"> (archivo thyroid_cancer_risk_data.csv). Se trata de un dataset publicado con fines educativos y de investigación que reúne información demográfica, antecedentes, perfil hormonal y características del nódulo tiroideo. [COMPLETAR: autor y URL exacta de la página de Kaggle].</w:t>
      </w:r>
    </w:p>
    <w:p w14:paraId="2A000004">
      <w:pPr>
        <w:keepNext/>
        <w:spacing w:after="160" w:before="240" w:lineRule="auto"/>
      </w:pPr>
      <w:r>
        <w:rPr>
          <w:b w:val="1"/>
          <w:bCs w:val="1"/>
          <w:sz w:val="32"/>
          <w:szCs w:val="32"/>
        </w:rPr>
        <w:t xml:space="preserve">2.2 Número de observaciones y variables</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3100"/>
        <w:gridCol w:w="6200"/>
      </w:tblGrid>
      <w:tr>
        <w:trPr>
          <w:tblHeader/>
          <w:cantSplit/>
        </w:trPr>
        <w:tc>
          <w:tcPr>
            <w:tcW w:w="3100" w:type="dxa"/>
            <w:shd w:val="clear" w:color="auto" w:fill="1F3864"/>
          </w:tcPr>
          <w:p w14:paraId="2A000005">
            <w:pPr>
              <w:spacing w:after="0" w:before="0" w:line="240" w:lineRule="auto"/>
            </w:pPr>
            <w:r>
              <w:rPr>
                <w:rFonts w:ascii="Arial" w:cs="Arial" w:eastAsia="Arial" w:hAnsi="Arial"/>
                <w:b w:val="1"/>
                <w:bCs w:val="1"/>
                <w:color w:val="FFFFFF"/>
                <w:sz w:val="18"/>
                <w:szCs w:val="18"/>
              </w:rPr>
              <w:t xml:space="preserve">Elemento</w:t>
            </w:r>
          </w:p>
        </w:tc>
        <w:tc>
          <w:tcPr>
            <w:tcW w:w="6200" w:type="dxa"/>
            <w:shd w:val="clear" w:color="auto" w:fill="1F3864"/>
          </w:tcPr>
          <w:p w14:paraId="2A000006">
            <w:pPr>
              <w:spacing w:after="0" w:before="0" w:line="240" w:lineRule="auto"/>
            </w:pPr>
            <w:r>
              <w:rPr>
                <w:rFonts w:ascii="Arial" w:cs="Arial" w:eastAsia="Arial" w:hAnsi="Arial"/>
                <w:b w:val="1"/>
                <w:bCs w:val="1"/>
                <w:color w:val="FFFFFF"/>
                <w:sz w:val="18"/>
                <w:szCs w:val="18"/>
              </w:rPr>
              <w:t xml:space="preserve">Valor</w:t>
            </w:r>
          </w:p>
        </w:tc>
      </w:tr>
      <w:tr>
        <w:trPr>
          <w:cantSplit/>
        </w:trPr>
        <w:tc>
          <w:tcPr>
            <w:tcW w:w="3100" w:type="dxa"/>
          </w:tcPr>
          <w:p w14:paraId="2A000007">
            <w:pPr>
              <w:spacing w:after="0" w:before="0" w:line="240" w:lineRule="auto"/>
            </w:pPr>
            <w:r>
              <w:rPr>
                <w:rFonts w:ascii="Arial" w:cs="Arial" w:eastAsia="Arial" w:hAnsi="Arial"/>
                <w:sz w:val="18"/>
                <w:szCs w:val="18"/>
              </w:rPr>
              <w:t xml:space="preserve">Observaciones (pacientes)</w:t>
            </w:r>
          </w:p>
        </w:tc>
        <w:tc>
          <w:tcPr>
            <w:tcW w:w="6200" w:type="dxa"/>
          </w:tcPr>
          <w:p w14:paraId="2A000008">
            <w:pPr>
              <w:spacing w:after="0" w:before="0" w:line="240" w:lineRule="auto"/>
            </w:pPr>
            <w:r>
              <w:rPr>
                <w:rFonts w:ascii="Arial" w:cs="Arial" w:eastAsia="Arial" w:hAnsi="Arial"/>
                <w:sz w:val="18"/>
                <w:szCs w:val="18"/>
              </w:rPr>
              <w:t xml:space="preserve">212 691</w:t>
            </w:r>
          </w:p>
        </w:tc>
      </w:tr>
      <w:tr>
        <w:trPr>
          <w:cantSplit/>
        </w:trPr>
        <w:tc>
          <w:tcPr>
            <w:tcW w:w="3100" w:type="dxa"/>
          </w:tcPr>
          <w:p w14:paraId="2A000009">
            <w:pPr>
              <w:spacing w:after="0" w:before="0" w:line="240" w:lineRule="auto"/>
            </w:pPr>
            <w:r>
              <w:rPr>
                <w:rFonts w:ascii="Arial" w:cs="Arial" w:eastAsia="Arial" w:hAnsi="Arial"/>
                <w:sz w:val="18"/>
                <w:szCs w:val="18"/>
              </w:rPr>
              <w:t xml:space="preserve">Variables totales</w:t>
            </w:r>
          </w:p>
        </w:tc>
        <w:tc>
          <w:tcPr>
            <w:tcW w:w="6200" w:type="dxa"/>
          </w:tcPr>
          <w:p w14:paraId="2A00000A">
            <w:pPr>
              <w:spacing w:after="0" w:before="0" w:line="240" w:lineRule="auto"/>
            </w:pPr>
            <w:r>
              <w:rPr>
                <w:rFonts w:ascii="Arial" w:cs="Arial" w:eastAsia="Arial" w:hAnsi="Arial"/>
                <w:sz w:val="18"/>
                <w:szCs w:val="18"/>
              </w:rPr>
              <w:t xml:space="preserve">17</w:t>
            </w:r>
          </w:p>
        </w:tc>
      </w:tr>
      <w:tr>
        <w:trPr>
          <w:cantSplit/>
        </w:trPr>
        <w:tc>
          <w:tcPr>
            <w:tcW w:w="3100" w:type="dxa"/>
          </w:tcPr>
          <w:p w14:paraId="2A00000B">
            <w:pPr>
              <w:spacing w:after="0" w:before="0" w:line="240" w:lineRule="auto"/>
            </w:pPr>
            <w:r>
              <w:rPr>
                <w:rFonts w:ascii="Arial" w:cs="Arial" w:eastAsia="Arial" w:hAnsi="Arial"/>
                <w:sz w:val="18"/>
                <w:szCs w:val="18"/>
              </w:rPr>
              <w:t xml:space="preserve">Predictoras numéricas</w:t>
            </w:r>
          </w:p>
        </w:tc>
        <w:tc>
          <w:tcPr>
            <w:tcW w:w="6200" w:type="dxa"/>
          </w:tcPr>
          <w:p w14:paraId="2A00000C">
            <w:pPr>
              <w:spacing w:after="0" w:before="0" w:line="240" w:lineRule="auto"/>
            </w:pPr>
            <w:r>
              <w:rPr>
                <w:rFonts w:ascii="Arial" w:cs="Arial" w:eastAsia="Arial" w:hAnsi="Arial"/>
                <w:sz w:val="18"/>
                <w:szCs w:val="18"/>
              </w:rPr>
              <w:t xml:space="preserve">5 (Age, TSH_Level, T3_Level, T4_Level, Nodule_Size)</w:t>
            </w:r>
          </w:p>
        </w:tc>
      </w:tr>
      <w:tr>
        <w:trPr>
          <w:cantSplit/>
        </w:trPr>
        <w:tc>
          <w:tcPr>
            <w:tcW w:w="3100" w:type="dxa"/>
          </w:tcPr>
          <w:p w14:paraId="2A00000D">
            <w:pPr>
              <w:spacing w:after="0" w:before="0" w:line="240" w:lineRule="auto"/>
            </w:pPr>
            <w:r>
              <w:rPr>
                <w:rFonts w:ascii="Arial" w:cs="Arial" w:eastAsia="Arial" w:hAnsi="Arial"/>
                <w:sz w:val="18"/>
                <w:szCs w:val="18"/>
              </w:rPr>
              <w:t xml:space="preserve">Predictoras categóricas</w:t>
            </w:r>
          </w:p>
        </w:tc>
        <w:tc>
          <w:tcPr>
            <w:tcW w:w="6200" w:type="dxa"/>
          </w:tcPr>
          <w:p w14:paraId="2A00000E">
            <w:pPr>
              <w:spacing w:after="0" w:before="0" w:line="240" w:lineRule="auto"/>
            </w:pPr>
            <w:r>
              <w:rPr>
                <w:rFonts w:ascii="Arial" w:cs="Arial" w:eastAsia="Arial" w:hAnsi="Arial"/>
                <w:sz w:val="18"/>
                <w:szCs w:val="18"/>
              </w:rPr>
              <w:t xml:space="preserve">9 (7 binarias + Country y Ethnicity)</w:t>
            </w:r>
          </w:p>
        </w:tc>
      </w:tr>
      <w:tr>
        <w:trPr>
          <w:cantSplit/>
        </w:trPr>
        <w:tc>
          <w:tcPr>
            <w:tcW w:w="3100" w:type="dxa"/>
          </w:tcPr>
          <w:p w14:paraId="2A00000F">
            <w:pPr>
              <w:spacing w:after="0" w:before="0" w:line="240" w:lineRule="auto"/>
            </w:pPr>
            <w:r>
              <w:rPr>
                <w:rFonts w:ascii="Arial" w:cs="Arial" w:eastAsia="Arial" w:hAnsi="Arial"/>
                <w:sz w:val="18"/>
                <w:szCs w:val="18"/>
              </w:rPr>
              <w:t xml:space="preserve">Identificador / excluidas</w:t>
            </w:r>
          </w:p>
        </w:tc>
        <w:tc>
          <w:tcPr>
            <w:tcW w:w="6200" w:type="dxa"/>
          </w:tcPr>
          <w:p w14:paraId="2A000010">
            <w:pPr>
              <w:spacing w:after="0" w:before="0" w:line="240" w:lineRule="auto"/>
            </w:pPr>
            <w:r>
              <w:rPr>
                <w:rFonts w:ascii="Arial" w:cs="Arial" w:eastAsia="Arial" w:hAnsi="Arial"/>
                <w:sz w:val="18"/>
                <w:szCs w:val="18"/>
              </w:rPr>
              <w:t xml:space="preserve">Patient_ID, Thyroid_Cancer_Risk</w:t>
            </w:r>
          </w:p>
        </w:tc>
      </w:tr>
      <w:tr>
        <w:trPr>
          <w:cantSplit/>
        </w:trPr>
        <w:tc>
          <w:tcPr>
            <w:tcW w:w="3100" w:type="dxa"/>
          </w:tcPr>
          <w:p w14:paraId="2A000011">
            <w:pPr>
              <w:spacing w:after="0" w:before="0" w:line="240" w:lineRule="auto"/>
            </w:pPr>
            <w:r>
              <w:rPr>
                <w:rFonts w:ascii="Arial" w:cs="Arial" w:eastAsia="Arial" w:hAnsi="Arial"/>
                <w:sz w:val="18"/>
                <w:szCs w:val="18"/>
              </w:rPr>
              <w:t xml:space="preserve">Variable objetivo</w:t>
            </w:r>
          </w:p>
        </w:tc>
        <w:tc>
          <w:tcPr>
            <w:tcW w:w="6200" w:type="dxa"/>
          </w:tcPr>
          <w:p w14:paraId="2A000012">
            <w:pPr>
              <w:spacing w:after="0" w:before="0" w:line="240" w:lineRule="auto"/>
            </w:pPr>
            <w:r>
              <w:rPr>
                <w:rFonts w:ascii="Arial" w:cs="Arial" w:eastAsia="Arial" w:hAnsi="Arial"/>
                <w:sz w:val="18"/>
                <w:szCs w:val="18"/>
              </w:rPr>
              <w:t xml:space="preserve">Diagnosis (Benign / Malignant)</w:t>
            </w:r>
          </w:p>
        </w:tc>
      </w:tr>
      <w:tr>
        <w:trPr>
          <w:cantSplit/>
        </w:trPr>
        <w:tc>
          <w:tcPr>
            <w:tcW w:w="3100" w:type="dxa"/>
          </w:tcPr>
          <w:p w14:paraId="2A000013">
            <w:pPr>
              <w:spacing w:after="0" w:before="0" w:line="240" w:lineRule="auto"/>
            </w:pPr>
            <w:r>
              <w:rPr>
                <w:rFonts w:ascii="Arial" w:cs="Arial" w:eastAsia="Arial" w:hAnsi="Arial"/>
                <w:sz w:val="18"/>
                <w:szCs w:val="18"/>
              </w:rPr>
              <w:t xml:space="preserve">Valores faltantes / duplicados</w:t>
            </w:r>
          </w:p>
        </w:tc>
        <w:tc>
          <w:tcPr>
            <w:tcW w:w="6200" w:type="dxa"/>
          </w:tcPr>
          <w:p w14:paraId="2A000014">
            <w:pPr>
              <w:spacing w:after="0" w:before="0" w:line="240" w:lineRule="auto"/>
            </w:pPr>
            <w:r>
              <w:rPr>
                <w:rFonts w:ascii="Arial" w:cs="Arial" w:eastAsia="Arial" w:hAnsi="Arial"/>
                <w:sz w:val="18"/>
                <w:szCs w:val="18"/>
              </w:rPr>
              <w:t xml:space="preserve">0 / 0</w:t>
            </w:r>
          </w:p>
        </w:tc>
      </w:tr>
    </w:tbl>
    <w:p w14:paraId="2A000015">
      <w:pPr>
        <w:spacing w:after="60" w:before="0" w:line="276" w:lineRule="auto"/>
        <w:jc w:val="both"/>
      </w:pPr>
    </w:p>
    <w:p w14:paraId="2A000016">
      <w:pPr>
        <w:keepNext/>
        <w:spacing w:after="160" w:before="240" w:lineRule="auto"/>
      </w:pPr>
      <w:r>
        <w:rPr>
          <w:b w:val="1"/>
          <w:bCs w:val="1"/>
          <w:sz w:val="32"/>
          <w:szCs w:val="32"/>
        </w:rPr>
        <w:t xml:space="preserve">2.3 Período temporal</w:t>
      </w:r>
    </w:p>
    <w:p w14:paraId="2A000017">
      <w:pPr>
        <w:spacing w:after="120" w:before="120" w:line="276" w:lineRule="auto"/>
        <w:jc w:val="both"/>
      </w:pPr>
      <w:r>
        <w:rPr>
          <w:rFonts w:ascii="Arial" w:cs="Arial" w:eastAsia="Arial" w:hAnsi="Arial"/>
          <w:sz w:val="24"/>
          <w:szCs w:val="24"/>
        </w:rPr>
        <w:t xml:space="preserve">El dataset no incluye fechas ni un período temporal de recolección. Cada fila es una observación transversal de un paciente, por lo que no se requiere un tratamiento temporal (series de tiempo) y la separación de datos puede ser aleatoria estratificada.</w:t>
      </w:r>
    </w:p>
    <w:p w14:paraId="2A000018">
      <w:pPr>
        <w:keepNext/>
        <w:spacing w:after="160" w:before="240" w:lineRule="auto"/>
      </w:pPr>
      <w:r>
        <w:rPr>
          <w:b w:val="1"/>
          <w:bCs w:val="1"/>
          <w:sz w:val="32"/>
          <w:szCs w:val="32"/>
        </w:rPr>
        <w:t xml:space="preserve">2.4 Variable objetivo</w:t>
      </w:r>
    </w:p>
    <w:p w14:paraId="2A000019">
      <w:pPr>
        <w:spacing w:after="120" w:before="120" w:line="276" w:lineRule="auto"/>
        <w:jc w:val="both"/>
      </w:pPr>
      <w:r>
        <w:rPr>
          <w:rFonts w:ascii="Arial" w:cs="Arial" w:eastAsia="Arial" w:hAnsi="Arial"/>
          <w:sz w:val="24"/>
          <w:szCs w:val="24"/>
        </w:rPr>
        <w:t xml:space="preserve">La variable objetivo es </w:t>
      </w:r>
      <w:r>
        <w:rPr>
          <w:rFonts w:ascii="Arial" w:cs="Arial" w:eastAsia="Arial" w:hAnsi="Arial"/>
          <w:b w:val="1"/>
          <w:bCs w:val="1"/>
          <w:sz w:val="24"/>
          <w:szCs w:val="24"/>
        </w:rPr>
        <w:t xml:space="preserve">Diagnosis</w:t>
      </w:r>
      <w:r>
        <w:rPr>
          <w:rFonts w:ascii="Arial" w:cs="Arial" w:eastAsia="Arial" w:hAnsi="Arial"/>
          <w:sz w:val="24"/>
          <w:szCs w:val="24"/>
        </w:rPr>
        <w:t xml:space="preserve">, con dos clases: Benign (163 196 pacientes, 76.7 %) y Malignant (49 495 pacientes, 23.3 %). La clase positiva de interés es Malignant. La variable Thyroid_Cancer_Risk (Low / Medium / High) </w:t>
      </w:r>
      <w:r>
        <w:rPr>
          <w:rFonts w:ascii="Arial" w:cs="Arial" w:eastAsia="Arial" w:hAnsi="Arial"/>
          <w:b w:val="1"/>
          <w:bCs w:val="1"/>
          <w:sz w:val="24"/>
          <w:szCs w:val="24"/>
        </w:rPr>
        <w:t xml:space="preserve">no se utiliza como objetivo ni como predictor</w:t>
      </w:r>
      <w:r>
        <w:rPr>
          <w:rFonts w:ascii="Arial" w:cs="Arial" w:eastAsia="Arial" w:hAnsi="Arial"/>
          <w:sz w:val="24"/>
          <w:szCs w:val="24"/>
        </w:rPr>
        <w:t xml:space="preserve"> del modelo principal, por las razones expuestas en la sección 3.6; se emplea únicamente como regla de referencia (baseline del dominio).</w:t>
      </w:r>
    </w:p>
    <w:p w14:paraId="2A00001A">
      <w:pPr>
        <w:keepNext/>
        <w:spacing w:after="160" w:before="240" w:lineRule="auto"/>
      </w:pPr>
      <w:r>
        <w:rPr>
          <w:b w:val="1"/>
          <w:bCs w:val="1"/>
          <w:sz w:val="32"/>
          <w:szCs w:val="32"/>
        </w:rPr>
        <w:t xml:space="preserve">2.5 Diccionario de variables relevante</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228"/>
        <w:gridCol w:w="1259"/>
        <w:gridCol w:w="4262"/>
        <w:gridCol w:w="1550"/>
      </w:tblGrid>
      <w:tr>
        <w:trPr>
          <w:tblHeader/>
          <w:cantSplit/>
        </w:trPr>
        <w:tc>
          <w:tcPr>
            <w:tcW w:w="2228" w:type="dxa"/>
            <w:shd w:val="clear" w:color="auto" w:fill="1F3864"/>
          </w:tcPr>
          <w:p w14:paraId="2A00001B">
            <w:pPr>
              <w:spacing w:after="0" w:before="0" w:line="240" w:lineRule="auto"/>
            </w:pPr>
            <w:r>
              <w:rPr>
                <w:rFonts w:ascii="Arial" w:cs="Arial" w:eastAsia="Arial" w:hAnsi="Arial"/>
                <w:b w:val="1"/>
                <w:bCs w:val="1"/>
                <w:color w:val="FFFFFF"/>
                <w:sz w:val="18"/>
                <w:szCs w:val="18"/>
              </w:rPr>
              <w:t xml:space="preserve">Variable</w:t>
            </w:r>
          </w:p>
        </w:tc>
        <w:tc>
          <w:tcPr>
            <w:tcW w:w="1259" w:type="dxa"/>
            <w:shd w:val="clear" w:color="auto" w:fill="1F3864"/>
          </w:tcPr>
          <w:p w14:paraId="2A00001C">
            <w:pPr>
              <w:spacing w:after="0" w:before="0" w:line="240" w:lineRule="auto"/>
            </w:pPr>
            <w:r>
              <w:rPr>
                <w:rFonts w:ascii="Arial" w:cs="Arial" w:eastAsia="Arial" w:hAnsi="Arial"/>
                <w:b w:val="1"/>
                <w:bCs w:val="1"/>
                <w:color w:val="FFFFFF"/>
                <w:sz w:val="18"/>
                <w:szCs w:val="18"/>
              </w:rPr>
              <w:t xml:space="preserve">Tipo</w:t>
            </w:r>
          </w:p>
        </w:tc>
        <w:tc>
          <w:tcPr>
            <w:tcW w:w="4262" w:type="dxa"/>
            <w:shd w:val="clear" w:color="auto" w:fill="1F3864"/>
          </w:tcPr>
          <w:p w14:paraId="2A00001D">
            <w:pPr>
              <w:spacing w:after="0" w:before="0" w:line="240" w:lineRule="auto"/>
            </w:pPr>
            <w:r>
              <w:rPr>
                <w:rFonts w:ascii="Arial" w:cs="Arial" w:eastAsia="Arial" w:hAnsi="Arial"/>
                <w:b w:val="1"/>
                <w:bCs w:val="1"/>
                <w:color w:val="FFFFFF"/>
                <w:sz w:val="18"/>
                <w:szCs w:val="18"/>
              </w:rPr>
              <w:t xml:space="preserve">Descripción / valores</w:t>
            </w:r>
          </w:p>
        </w:tc>
        <w:tc>
          <w:tcPr>
            <w:tcW w:w="1550" w:type="dxa"/>
            <w:shd w:val="clear" w:color="auto" w:fill="1F3864"/>
          </w:tcPr>
          <w:p w14:paraId="2A00001E">
            <w:pPr>
              <w:spacing w:after="0" w:before="0" w:line="240" w:lineRule="auto"/>
            </w:pPr>
            <w:r>
              <w:rPr>
                <w:rFonts w:ascii="Arial" w:cs="Arial" w:eastAsia="Arial" w:hAnsi="Arial"/>
                <w:b w:val="1"/>
                <w:bCs w:val="1"/>
                <w:color w:val="FFFFFF"/>
                <w:sz w:val="18"/>
                <w:szCs w:val="18"/>
              </w:rPr>
              <w:t xml:space="preserve">Rol</w:t>
            </w:r>
          </w:p>
        </w:tc>
      </w:tr>
      <w:tr>
        <w:trPr>
          <w:cantSplit/>
        </w:trPr>
        <w:tc>
          <w:tcPr>
            <w:tcW w:w="2228" w:type="dxa"/>
          </w:tcPr>
          <w:p w14:paraId="2A00001F">
            <w:pPr>
              <w:spacing w:after="0" w:before="0" w:line="240" w:lineRule="auto"/>
            </w:pPr>
            <w:r>
              <w:rPr>
                <w:rFonts w:ascii="Arial" w:cs="Arial" w:eastAsia="Arial" w:hAnsi="Arial"/>
                <w:sz w:val="18"/>
                <w:szCs w:val="18"/>
              </w:rPr>
              <w:t xml:space="preserve">Patient_ID</w:t>
            </w:r>
          </w:p>
        </w:tc>
        <w:tc>
          <w:tcPr>
            <w:tcW w:w="1259" w:type="dxa"/>
          </w:tcPr>
          <w:p w14:paraId="2A000020">
            <w:pPr>
              <w:spacing w:after="0" w:before="0" w:line="240" w:lineRule="auto"/>
            </w:pPr>
            <w:r>
              <w:rPr>
                <w:rFonts w:ascii="Arial" w:cs="Arial" w:eastAsia="Arial" w:hAnsi="Arial"/>
                <w:sz w:val="18"/>
                <w:szCs w:val="18"/>
              </w:rPr>
              <w:t xml:space="preserve">Entero</w:t>
            </w:r>
          </w:p>
        </w:tc>
        <w:tc>
          <w:tcPr>
            <w:tcW w:w="4262" w:type="dxa"/>
          </w:tcPr>
          <w:p w14:paraId="2A000021">
            <w:pPr>
              <w:spacing w:after="0" w:before="0" w:line="240" w:lineRule="auto"/>
            </w:pPr>
            <w:r>
              <w:rPr>
                <w:rFonts w:ascii="Arial" w:cs="Arial" w:eastAsia="Arial" w:hAnsi="Arial"/>
                <w:sz w:val="18"/>
                <w:szCs w:val="18"/>
              </w:rPr>
              <w:t xml:space="preserve">Identificador único del paciente</w:t>
            </w:r>
          </w:p>
        </w:tc>
        <w:tc>
          <w:tcPr>
            <w:tcW w:w="1550" w:type="dxa"/>
          </w:tcPr>
          <w:p w14:paraId="2A000022">
            <w:pPr>
              <w:spacing w:after="0" w:before="0" w:line="240" w:lineRule="auto"/>
            </w:pPr>
            <w:r>
              <w:rPr>
                <w:rFonts w:ascii="Arial" w:cs="Arial" w:eastAsia="Arial" w:hAnsi="Arial"/>
                <w:sz w:val="18"/>
                <w:szCs w:val="18"/>
              </w:rPr>
              <w:t xml:space="preserve">Excluida</w:t>
            </w:r>
          </w:p>
        </w:tc>
      </w:tr>
      <w:tr>
        <w:trPr>
          <w:cantSplit/>
        </w:trPr>
        <w:tc>
          <w:tcPr>
            <w:tcW w:w="2228" w:type="dxa"/>
          </w:tcPr>
          <w:p w14:paraId="2A000023">
            <w:pPr>
              <w:spacing w:after="0" w:before="0" w:line="240" w:lineRule="auto"/>
            </w:pPr>
            <w:r>
              <w:rPr>
                <w:rFonts w:ascii="Arial" w:cs="Arial" w:eastAsia="Arial" w:hAnsi="Arial"/>
                <w:sz w:val="18"/>
                <w:szCs w:val="18"/>
              </w:rPr>
              <w:t xml:space="preserve">Age</w:t>
            </w:r>
          </w:p>
        </w:tc>
        <w:tc>
          <w:tcPr>
            <w:tcW w:w="1259" w:type="dxa"/>
          </w:tcPr>
          <w:p w14:paraId="2A000024">
            <w:pPr>
              <w:spacing w:after="0" w:before="0" w:line="240" w:lineRule="auto"/>
            </w:pPr>
            <w:r>
              <w:rPr>
                <w:rFonts w:ascii="Arial" w:cs="Arial" w:eastAsia="Arial" w:hAnsi="Arial"/>
                <w:sz w:val="18"/>
                <w:szCs w:val="18"/>
              </w:rPr>
              <w:t xml:space="preserve">Numérica</w:t>
            </w:r>
          </w:p>
        </w:tc>
        <w:tc>
          <w:tcPr>
            <w:tcW w:w="4262" w:type="dxa"/>
          </w:tcPr>
          <w:p w14:paraId="2A000025">
            <w:pPr>
              <w:spacing w:after="0" w:before="0" w:line="240" w:lineRule="auto"/>
            </w:pPr>
            <w:r>
              <w:rPr>
                <w:rFonts w:ascii="Arial" w:cs="Arial" w:eastAsia="Arial" w:hAnsi="Arial"/>
                <w:sz w:val="18"/>
                <w:szCs w:val="18"/>
              </w:rPr>
              <w:t xml:space="preserve">Edad en años (15–89)</w:t>
            </w:r>
          </w:p>
        </w:tc>
        <w:tc>
          <w:tcPr>
            <w:tcW w:w="1550" w:type="dxa"/>
          </w:tcPr>
          <w:p w14:paraId="2A000026">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27">
            <w:pPr>
              <w:spacing w:after="0" w:before="0" w:line="240" w:lineRule="auto"/>
            </w:pPr>
            <w:r>
              <w:rPr>
                <w:rFonts w:ascii="Arial" w:cs="Arial" w:eastAsia="Arial" w:hAnsi="Arial"/>
                <w:sz w:val="18"/>
                <w:szCs w:val="18"/>
              </w:rPr>
              <w:t xml:space="preserve">Gender</w:t>
            </w:r>
          </w:p>
        </w:tc>
        <w:tc>
          <w:tcPr>
            <w:tcW w:w="1259" w:type="dxa"/>
          </w:tcPr>
          <w:p w14:paraId="2A000028">
            <w:pPr>
              <w:spacing w:after="0" w:before="0" w:line="240" w:lineRule="auto"/>
            </w:pPr>
            <w:r>
              <w:rPr>
                <w:rFonts w:ascii="Arial" w:cs="Arial" w:eastAsia="Arial" w:hAnsi="Arial"/>
                <w:sz w:val="18"/>
                <w:szCs w:val="18"/>
              </w:rPr>
              <w:t xml:space="preserve">Binaria</w:t>
            </w:r>
          </w:p>
        </w:tc>
        <w:tc>
          <w:tcPr>
            <w:tcW w:w="4262" w:type="dxa"/>
          </w:tcPr>
          <w:p w14:paraId="2A000029">
            <w:pPr>
              <w:spacing w:after="0" w:before="0" w:line="240" w:lineRule="auto"/>
            </w:pPr>
            <w:r>
              <w:rPr>
                <w:rFonts w:ascii="Arial" w:cs="Arial" w:eastAsia="Arial" w:hAnsi="Arial"/>
                <w:sz w:val="18"/>
                <w:szCs w:val="18"/>
              </w:rPr>
              <w:t xml:space="preserve">Female (60 %) / Male (40 %)</w:t>
            </w:r>
          </w:p>
        </w:tc>
        <w:tc>
          <w:tcPr>
            <w:tcW w:w="1550" w:type="dxa"/>
          </w:tcPr>
          <w:p w14:paraId="2A00002A">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2B">
            <w:pPr>
              <w:spacing w:after="0" w:before="0" w:line="240" w:lineRule="auto"/>
            </w:pPr>
            <w:r>
              <w:rPr>
                <w:rFonts w:ascii="Arial" w:cs="Arial" w:eastAsia="Arial" w:hAnsi="Arial"/>
                <w:sz w:val="18"/>
                <w:szCs w:val="18"/>
              </w:rPr>
              <w:t xml:space="preserve">Country</w:t>
            </w:r>
          </w:p>
        </w:tc>
        <w:tc>
          <w:tcPr>
            <w:tcW w:w="1259" w:type="dxa"/>
          </w:tcPr>
          <w:p w14:paraId="2A00002C">
            <w:pPr>
              <w:spacing w:after="0" w:before="0" w:line="240" w:lineRule="auto"/>
            </w:pPr>
            <w:r>
              <w:rPr>
                <w:rFonts w:ascii="Arial" w:cs="Arial" w:eastAsia="Arial" w:hAnsi="Arial"/>
                <w:sz w:val="18"/>
                <w:szCs w:val="18"/>
              </w:rPr>
              <w:t xml:space="preserve">Nominal</w:t>
            </w:r>
          </w:p>
        </w:tc>
        <w:tc>
          <w:tcPr>
            <w:tcW w:w="4262" w:type="dxa"/>
          </w:tcPr>
          <w:p w14:paraId="2A00002D">
            <w:pPr>
              <w:spacing w:after="0" w:before="0" w:line="240" w:lineRule="auto"/>
            </w:pPr>
            <w:r>
              <w:rPr>
                <w:rFonts w:ascii="Arial" w:cs="Arial" w:eastAsia="Arial" w:hAnsi="Arial"/>
                <w:sz w:val="18"/>
                <w:szCs w:val="18"/>
              </w:rPr>
              <w:t xml:space="preserve">10 países (India 20 %, China 15 %, Nigeria 15 %, …)</w:t>
            </w:r>
          </w:p>
        </w:tc>
        <w:tc>
          <w:tcPr>
            <w:tcW w:w="1550" w:type="dxa"/>
          </w:tcPr>
          <w:p w14:paraId="2A00002E">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2F">
            <w:pPr>
              <w:spacing w:after="0" w:before="0" w:line="240" w:lineRule="auto"/>
            </w:pPr>
            <w:r>
              <w:rPr>
                <w:rFonts w:ascii="Arial" w:cs="Arial" w:eastAsia="Arial" w:hAnsi="Arial"/>
                <w:sz w:val="18"/>
                <w:szCs w:val="18"/>
              </w:rPr>
              <w:t xml:space="preserve">Ethnicity</w:t>
            </w:r>
          </w:p>
        </w:tc>
        <w:tc>
          <w:tcPr>
            <w:tcW w:w="1259" w:type="dxa"/>
          </w:tcPr>
          <w:p w14:paraId="2A000030">
            <w:pPr>
              <w:spacing w:after="0" w:before="0" w:line="240" w:lineRule="auto"/>
            </w:pPr>
            <w:r>
              <w:rPr>
                <w:rFonts w:ascii="Arial" w:cs="Arial" w:eastAsia="Arial" w:hAnsi="Arial"/>
                <w:sz w:val="18"/>
                <w:szCs w:val="18"/>
              </w:rPr>
              <w:t xml:space="preserve">Nominal</w:t>
            </w:r>
          </w:p>
        </w:tc>
        <w:tc>
          <w:tcPr>
            <w:tcW w:w="4262" w:type="dxa"/>
          </w:tcPr>
          <w:p w14:paraId="2A000031">
            <w:pPr>
              <w:spacing w:after="0" w:before="0" w:line="240" w:lineRule="auto"/>
            </w:pPr>
            <w:r>
              <w:rPr>
                <w:rFonts w:ascii="Arial" w:cs="Arial" w:eastAsia="Arial" w:hAnsi="Arial"/>
                <w:sz w:val="18"/>
                <w:szCs w:val="18"/>
              </w:rPr>
              <w:t xml:space="preserve">Caucasian, Asian, African, Hispanic, Middle Eastern</w:t>
            </w:r>
          </w:p>
        </w:tc>
        <w:tc>
          <w:tcPr>
            <w:tcW w:w="1550" w:type="dxa"/>
          </w:tcPr>
          <w:p w14:paraId="2A000032">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33">
            <w:pPr>
              <w:spacing w:after="0" w:before="0" w:line="240" w:lineRule="auto"/>
            </w:pPr>
            <w:r>
              <w:rPr>
                <w:rFonts w:ascii="Arial" w:cs="Arial" w:eastAsia="Arial" w:hAnsi="Arial"/>
                <w:sz w:val="18"/>
                <w:szCs w:val="18"/>
              </w:rPr>
              <w:t xml:space="preserve">Family_History</w:t>
            </w:r>
          </w:p>
        </w:tc>
        <w:tc>
          <w:tcPr>
            <w:tcW w:w="1259" w:type="dxa"/>
          </w:tcPr>
          <w:p w14:paraId="2A000034">
            <w:pPr>
              <w:spacing w:after="0" w:before="0" w:line="240" w:lineRule="auto"/>
            </w:pPr>
            <w:r>
              <w:rPr>
                <w:rFonts w:ascii="Arial" w:cs="Arial" w:eastAsia="Arial" w:hAnsi="Arial"/>
                <w:sz w:val="18"/>
                <w:szCs w:val="18"/>
              </w:rPr>
              <w:t xml:space="preserve">Binaria</w:t>
            </w:r>
          </w:p>
        </w:tc>
        <w:tc>
          <w:tcPr>
            <w:tcW w:w="4262" w:type="dxa"/>
          </w:tcPr>
          <w:p w14:paraId="2A000035">
            <w:pPr>
              <w:spacing w:after="0" w:before="0" w:line="240" w:lineRule="auto"/>
            </w:pPr>
            <w:r>
              <w:rPr>
                <w:rFonts w:ascii="Arial" w:cs="Arial" w:eastAsia="Arial" w:hAnsi="Arial"/>
                <w:sz w:val="18"/>
                <w:szCs w:val="18"/>
              </w:rPr>
              <w:t xml:space="preserve">Antecedente familiar de cáncer de tiroides (Yes 30 %)</w:t>
            </w:r>
          </w:p>
        </w:tc>
        <w:tc>
          <w:tcPr>
            <w:tcW w:w="1550" w:type="dxa"/>
          </w:tcPr>
          <w:p w14:paraId="2A000036">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37">
            <w:pPr>
              <w:spacing w:after="0" w:before="0" w:line="240" w:lineRule="auto"/>
            </w:pPr>
            <w:r>
              <w:rPr>
                <w:rFonts w:ascii="Arial" w:cs="Arial" w:eastAsia="Arial" w:hAnsi="Arial"/>
                <w:sz w:val="18"/>
                <w:szCs w:val="18"/>
              </w:rPr>
              <w:t xml:space="preserve">Radiation_Exposure</w:t>
            </w:r>
          </w:p>
        </w:tc>
        <w:tc>
          <w:tcPr>
            <w:tcW w:w="1259" w:type="dxa"/>
          </w:tcPr>
          <w:p w14:paraId="2A000038">
            <w:pPr>
              <w:spacing w:after="0" w:before="0" w:line="240" w:lineRule="auto"/>
            </w:pPr>
            <w:r>
              <w:rPr>
                <w:rFonts w:ascii="Arial" w:cs="Arial" w:eastAsia="Arial" w:hAnsi="Arial"/>
                <w:sz w:val="18"/>
                <w:szCs w:val="18"/>
              </w:rPr>
              <w:t xml:space="preserve">Binaria</w:t>
            </w:r>
          </w:p>
        </w:tc>
        <w:tc>
          <w:tcPr>
            <w:tcW w:w="4262" w:type="dxa"/>
          </w:tcPr>
          <w:p w14:paraId="2A000039">
            <w:pPr>
              <w:spacing w:after="0" w:before="0" w:line="240" w:lineRule="auto"/>
            </w:pPr>
            <w:r>
              <w:rPr>
                <w:rFonts w:ascii="Arial" w:cs="Arial" w:eastAsia="Arial" w:hAnsi="Arial"/>
                <w:sz w:val="18"/>
                <w:szCs w:val="18"/>
              </w:rPr>
              <w:t xml:space="preserve">Exposición previa a radiación (Yes 15 %)</w:t>
            </w:r>
          </w:p>
        </w:tc>
        <w:tc>
          <w:tcPr>
            <w:tcW w:w="1550" w:type="dxa"/>
          </w:tcPr>
          <w:p w14:paraId="2A00003A">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3B">
            <w:pPr>
              <w:spacing w:after="0" w:before="0" w:line="240" w:lineRule="auto"/>
            </w:pPr>
            <w:r>
              <w:rPr>
                <w:rFonts w:ascii="Arial" w:cs="Arial" w:eastAsia="Arial" w:hAnsi="Arial"/>
                <w:sz w:val="18"/>
                <w:szCs w:val="18"/>
              </w:rPr>
              <w:t xml:space="preserve">Iodine_Deficiency</w:t>
            </w:r>
          </w:p>
        </w:tc>
        <w:tc>
          <w:tcPr>
            <w:tcW w:w="1259" w:type="dxa"/>
          </w:tcPr>
          <w:p w14:paraId="2A00003C">
            <w:pPr>
              <w:spacing w:after="0" w:before="0" w:line="240" w:lineRule="auto"/>
            </w:pPr>
            <w:r>
              <w:rPr>
                <w:rFonts w:ascii="Arial" w:cs="Arial" w:eastAsia="Arial" w:hAnsi="Arial"/>
                <w:sz w:val="18"/>
                <w:szCs w:val="18"/>
              </w:rPr>
              <w:t xml:space="preserve">Binaria</w:t>
            </w:r>
          </w:p>
        </w:tc>
        <w:tc>
          <w:tcPr>
            <w:tcW w:w="4262" w:type="dxa"/>
          </w:tcPr>
          <w:p w14:paraId="2A00003D">
            <w:pPr>
              <w:spacing w:after="0" w:before="0" w:line="240" w:lineRule="auto"/>
            </w:pPr>
            <w:r>
              <w:rPr>
                <w:rFonts w:ascii="Arial" w:cs="Arial" w:eastAsia="Arial" w:hAnsi="Arial"/>
                <w:sz w:val="18"/>
                <w:szCs w:val="18"/>
              </w:rPr>
              <w:t xml:space="preserve">Deficiencia de yodo (Yes 25 %)</w:t>
            </w:r>
          </w:p>
        </w:tc>
        <w:tc>
          <w:tcPr>
            <w:tcW w:w="1550" w:type="dxa"/>
          </w:tcPr>
          <w:p w14:paraId="2A00003E">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3F">
            <w:pPr>
              <w:spacing w:after="0" w:before="0" w:line="240" w:lineRule="auto"/>
            </w:pPr>
            <w:r>
              <w:rPr>
                <w:rFonts w:ascii="Arial" w:cs="Arial" w:eastAsia="Arial" w:hAnsi="Arial"/>
                <w:sz w:val="18"/>
                <w:szCs w:val="18"/>
              </w:rPr>
              <w:t xml:space="preserve">Smoking</w:t>
            </w:r>
          </w:p>
        </w:tc>
        <w:tc>
          <w:tcPr>
            <w:tcW w:w="1259" w:type="dxa"/>
          </w:tcPr>
          <w:p w14:paraId="2A000040">
            <w:pPr>
              <w:spacing w:after="0" w:before="0" w:line="240" w:lineRule="auto"/>
            </w:pPr>
            <w:r>
              <w:rPr>
                <w:rFonts w:ascii="Arial" w:cs="Arial" w:eastAsia="Arial" w:hAnsi="Arial"/>
                <w:sz w:val="18"/>
                <w:szCs w:val="18"/>
              </w:rPr>
              <w:t xml:space="preserve">Binaria</w:t>
            </w:r>
          </w:p>
        </w:tc>
        <w:tc>
          <w:tcPr>
            <w:tcW w:w="4262" w:type="dxa"/>
          </w:tcPr>
          <w:p w14:paraId="2A000041">
            <w:pPr>
              <w:spacing w:after="0" w:before="0" w:line="240" w:lineRule="auto"/>
            </w:pPr>
            <w:r>
              <w:rPr>
                <w:rFonts w:ascii="Arial" w:cs="Arial" w:eastAsia="Arial" w:hAnsi="Arial"/>
                <w:sz w:val="18"/>
                <w:szCs w:val="18"/>
              </w:rPr>
              <w:t xml:space="preserve">Fumador (Yes 20 %)</w:t>
            </w:r>
          </w:p>
        </w:tc>
        <w:tc>
          <w:tcPr>
            <w:tcW w:w="1550" w:type="dxa"/>
          </w:tcPr>
          <w:p w14:paraId="2A000042">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43">
            <w:pPr>
              <w:spacing w:after="0" w:before="0" w:line="240" w:lineRule="auto"/>
            </w:pPr>
            <w:r>
              <w:rPr>
                <w:rFonts w:ascii="Arial" w:cs="Arial" w:eastAsia="Arial" w:hAnsi="Arial"/>
                <w:sz w:val="18"/>
                <w:szCs w:val="18"/>
              </w:rPr>
              <w:t xml:space="preserve">Obesity</w:t>
            </w:r>
          </w:p>
        </w:tc>
        <w:tc>
          <w:tcPr>
            <w:tcW w:w="1259" w:type="dxa"/>
          </w:tcPr>
          <w:p w14:paraId="2A000044">
            <w:pPr>
              <w:spacing w:after="0" w:before="0" w:line="240" w:lineRule="auto"/>
            </w:pPr>
            <w:r>
              <w:rPr>
                <w:rFonts w:ascii="Arial" w:cs="Arial" w:eastAsia="Arial" w:hAnsi="Arial"/>
                <w:sz w:val="18"/>
                <w:szCs w:val="18"/>
              </w:rPr>
              <w:t xml:space="preserve">Binaria</w:t>
            </w:r>
          </w:p>
        </w:tc>
        <w:tc>
          <w:tcPr>
            <w:tcW w:w="4262" w:type="dxa"/>
          </w:tcPr>
          <w:p w14:paraId="2A000045">
            <w:pPr>
              <w:spacing w:after="0" w:before="0" w:line="240" w:lineRule="auto"/>
            </w:pPr>
            <w:r>
              <w:rPr>
                <w:rFonts w:ascii="Arial" w:cs="Arial" w:eastAsia="Arial" w:hAnsi="Arial"/>
                <w:sz w:val="18"/>
                <w:szCs w:val="18"/>
              </w:rPr>
              <w:t xml:space="preserve">Obesidad (Yes 30 %)</w:t>
            </w:r>
          </w:p>
        </w:tc>
        <w:tc>
          <w:tcPr>
            <w:tcW w:w="1550" w:type="dxa"/>
          </w:tcPr>
          <w:p w14:paraId="2A000046">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47">
            <w:pPr>
              <w:spacing w:after="0" w:before="0" w:line="240" w:lineRule="auto"/>
            </w:pPr>
            <w:r>
              <w:rPr>
                <w:rFonts w:ascii="Arial" w:cs="Arial" w:eastAsia="Arial" w:hAnsi="Arial"/>
                <w:sz w:val="18"/>
                <w:szCs w:val="18"/>
              </w:rPr>
              <w:t xml:space="preserve">Diabetes</w:t>
            </w:r>
          </w:p>
        </w:tc>
        <w:tc>
          <w:tcPr>
            <w:tcW w:w="1259" w:type="dxa"/>
          </w:tcPr>
          <w:p w14:paraId="2A000048">
            <w:pPr>
              <w:spacing w:after="0" w:before="0" w:line="240" w:lineRule="auto"/>
            </w:pPr>
            <w:r>
              <w:rPr>
                <w:rFonts w:ascii="Arial" w:cs="Arial" w:eastAsia="Arial" w:hAnsi="Arial"/>
                <w:sz w:val="18"/>
                <w:szCs w:val="18"/>
              </w:rPr>
              <w:t xml:space="preserve">Binaria</w:t>
            </w:r>
          </w:p>
        </w:tc>
        <w:tc>
          <w:tcPr>
            <w:tcW w:w="4262" w:type="dxa"/>
          </w:tcPr>
          <w:p w14:paraId="2A000049">
            <w:pPr>
              <w:spacing w:after="0" w:before="0" w:line="240" w:lineRule="auto"/>
            </w:pPr>
            <w:r>
              <w:rPr>
                <w:rFonts w:ascii="Arial" w:cs="Arial" w:eastAsia="Arial" w:hAnsi="Arial"/>
                <w:sz w:val="18"/>
                <w:szCs w:val="18"/>
              </w:rPr>
              <w:t xml:space="preserve">Diabetes (Yes 20 %)</w:t>
            </w:r>
          </w:p>
        </w:tc>
        <w:tc>
          <w:tcPr>
            <w:tcW w:w="1550" w:type="dxa"/>
          </w:tcPr>
          <w:p w14:paraId="2A00004A">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4B">
            <w:pPr>
              <w:spacing w:after="0" w:before="0" w:line="240" w:lineRule="auto"/>
            </w:pPr>
            <w:r>
              <w:rPr>
                <w:rFonts w:ascii="Arial" w:cs="Arial" w:eastAsia="Arial" w:hAnsi="Arial"/>
                <w:sz w:val="18"/>
                <w:szCs w:val="18"/>
              </w:rPr>
              <w:t xml:space="preserve">TSH_Level</w:t>
            </w:r>
          </w:p>
        </w:tc>
        <w:tc>
          <w:tcPr>
            <w:tcW w:w="1259" w:type="dxa"/>
          </w:tcPr>
          <w:p w14:paraId="2A00004C">
            <w:pPr>
              <w:spacing w:after="0" w:before="0" w:line="240" w:lineRule="auto"/>
            </w:pPr>
            <w:r>
              <w:rPr>
                <w:rFonts w:ascii="Arial" w:cs="Arial" w:eastAsia="Arial" w:hAnsi="Arial"/>
                <w:sz w:val="18"/>
                <w:szCs w:val="18"/>
              </w:rPr>
              <w:t xml:space="preserve">Numérica</w:t>
            </w:r>
          </w:p>
        </w:tc>
        <w:tc>
          <w:tcPr>
            <w:tcW w:w="4262" w:type="dxa"/>
          </w:tcPr>
          <w:p w14:paraId="2A00004D">
            <w:pPr>
              <w:spacing w:after="0" w:before="0" w:line="240" w:lineRule="auto"/>
            </w:pPr>
            <w:r>
              <w:rPr>
                <w:rFonts w:ascii="Arial" w:cs="Arial" w:eastAsia="Arial" w:hAnsi="Arial"/>
                <w:sz w:val="18"/>
                <w:szCs w:val="18"/>
              </w:rPr>
              <w:t xml:space="preserve">Hormona estimulante de tiroides, mIU/L (0.1–10)</w:t>
            </w:r>
          </w:p>
        </w:tc>
        <w:tc>
          <w:tcPr>
            <w:tcW w:w="1550" w:type="dxa"/>
          </w:tcPr>
          <w:p w14:paraId="2A00004E">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4F">
            <w:pPr>
              <w:spacing w:after="0" w:before="0" w:line="240" w:lineRule="auto"/>
            </w:pPr>
            <w:r>
              <w:rPr>
                <w:rFonts w:ascii="Arial" w:cs="Arial" w:eastAsia="Arial" w:hAnsi="Arial"/>
                <w:sz w:val="18"/>
                <w:szCs w:val="18"/>
              </w:rPr>
              <w:t xml:space="preserve">T3_Level</w:t>
            </w:r>
          </w:p>
        </w:tc>
        <w:tc>
          <w:tcPr>
            <w:tcW w:w="1259" w:type="dxa"/>
          </w:tcPr>
          <w:p w14:paraId="2A000050">
            <w:pPr>
              <w:spacing w:after="0" w:before="0" w:line="240" w:lineRule="auto"/>
            </w:pPr>
            <w:r>
              <w:rPr>
                <w:rFonts w:ascii="Arial" w:cs="Arial" w:eastAsia="Arial" w:hAnsi="Arial"/>
                <w:sz w:val="18"/>
                <w:szCs w:val="18"/>
              </w:rPr>
              <w:t xml:space="preserve">Numérica</w:t>
            </w:r>
          </w:p>
        </w:tc>
        <w:tc>
          <w:tcPr>
            <w:tcW w:w="4262" w:type="dxa"/>
          </w:tcPr>
          <w:p w14:paraId="2A000051">
            <w:pPr>
              <w:spacing w:after="0" w:before="0" w:line="240" w:lineRule="auto"/>
            </w:pPr>
            <w:r>
              <w:rPr>
                <w:rFonts w:ascii="Arial" w:cs="Arial" w:eastAsia="Arial" w:hAnsi="Arial"/>
                <w:sz w:val="18"/>
                <w:szCs w:val="18"/>
              </w:rPr>
              <w:t xml:space="preserve">Triyodotironina (0.5–3.5)</w:t>
            </w:r>
          </w:p>
        </w:tc>
        <w:tc>
          <w:tcPr>
            <w:tcW w:w="1550" w:type="dxa"/>
          </w:tcPr>
          <w:p w14:paraId="2A000052">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53">
            <w:pPr>
              <w:spacing w:after="0" w:before="0" w:line="240" w:lineRule="auto"/>
            </w:pPr>
            <w:r>
              <w:rPr>
                <w:rFonts w:ascii="Arial" w:cs="Arial" w:eastAsia="Arial" w:hAnsi="Arial"/>
                <w:sz w:val="18"/>
                <w:szCs w:val="18"/>
              </w:rPr>
              <w:t xml:space="preserve">T4_Level</w:t>
            </w:r>
          </w:p>
        </w:tc>
        <w:tc>
          <w:tcPr>
            <w:tcW w:w="1259" w:type="dxa"/>
          </w:tcPr>
          <w:p w14:paraId="2A000054">
            <w:pPr>
              <w:spacing w:after="0" w:before="0" w:line="240" w:lineRule="auto"/>
            </w:pPr>
            <w:r>
              <w:rPr>
                <w:rFonts w:ascii="Arial" w:cs="Arial" w:eastAsia="Arial" w:hAnsi="Arial"/>
                <w:sz w:val="18"/>
                <w:szCs w:val="18"/>
              </w:rPr>
              <w:t xml:space="preserve">Numérica</w:t>
            </w:r>
          </w:p>
        </w:tc>
        <w:tc>
          <w:tcPr>
            <w:tcW w:w="4262" w:type="dxa"/>
          </w:tcPr>
          <w:p w14:paraId="2A000055">
            <w:pPr>
              <w:spacing w:after="0" w:before="0" w:line="240" w:lineRule="auto"/>
            </w:pPr>
            <w:r>
              <w:rPr>
                <w:rFonts w:ascii="Arial" w:cs="Arial" w:eastAsia="Arial" w:hAnsi="Arial"/>
                <w:sz w:val="18"/>
                <w:szCs w:val="18"/>
              </w:rPr>
              <w:t xml:space="preserve">Tiroxina (4.5–12)</w:t>
            </w:r>
          </w:p>
        </w:tc>
        <w:tc>
          <w:tcPr>
            <w:tcW w:w="1550" w:type="dxa"/>
          </w:tcPr>
          <w:p w14:paraId="2A000056">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57">
            <w:pPr>
              <w:spacing w:after="0" w:before="0" w:line="240" w:lineRule="auto"/>
            </w:pPr>
            <w:r>
              <w:rPr>
                <w:rFonts w:ascii="Arial" w:cs="Arial" w:eastAsia="Arial" w:hAnsi="Arial"/>
                <w:sz w:val="18"/>
                <w:szCs w:val="18"/>
              </w:rPr>
              <w:t xml:space="preserve">Nodule_Size</w:t>
            </w:r>
          </w:p>
        </w:tc>
        <w:tc>
          <w:tcPr>
            <w:tcW w:w="1259" w:type="dxa"/>
          </w:tcPr>
          <w:p w14:paraId="2A000058">
            <w:pPr>
              <w:spacing w:after="0" w:before="0" w:line="240" w:lineRule="auto"/>
            </w:pPr>
            <w:r>
              <w:rPr>
                <w:rFonts w:ascii="Arial" w:cs="Arial" w:eastAsia="Arial" w:hAnsi="Arial"/>
                <w:sz w:val="18"/>
                <w:szCs w:val="18"/>
              </w:rPr>
              <w:t xml:space="preserve">Numérica</w:t>
            </w:r>
          </w:p>
        </w:tc>
        <w:tc>
          <w:tcPr>
            <w:tcW w:w="4262" w:type="dxa"/>
          </w:tcPr>
          <w:p w14:paraId="2A000059">
            <w:pPr>
              <w:spacing w:after="0" w:before="0" w:line="240" w:lineRule="auto"/>
            </w:pPr>
            <w:r>
              <w:rPr>
                <w:rFonts w:ascii="Arial" w:cs="Arial" w:eastAsia="Arial" w:hAnsi="Arial"/>
                <w:sz w:val="18"/>
                <w:szCs w:val="18"/>
              </w:rPr>
              <w:t xml:space="preserve">Tamaño del nódulo en cm (0–5)</w:t>
            </w:r>
          </w:p>
        </w:tc>
        <w:tc>
          <w:tcPr>
            <w:tcW w:w="1550" w:type="dxa"/>
          </w:tcPr>
          <w:p w14:paraId="2A00005A">
            <w:pPr>
              <w:spacing w:after="0" w:before="0" w:line="240" w:lineRule="auto"/>
            </w:pPr>
            <w:r>
              <w:rPr>
                <w:rFonts w:ascii="Arial" w:cs="Arial" w:eastAsia="Arial" w:hAnsi="Arial"/>
                <w:sz w:val="18"/>
                <w:szCs w:val="18"/>
              </w:rPr>
              <w:t xml:space="preserve">Predictor</w:t>
            </w:r>
          </w:p>
        </w:tc>
      </w:tr>
      <w:tr>
        <w:trPr>
          <w:cantSplit/>
        </w:trPr>
        <w:tc>
          <w:tcPr>
            <w:tcW w:w="2228" w:type="dxa"/>
          </w:tcPr>
          <w:p w14:paraId="2A00005B">
            <w:pPr>
              <w:spacing w:after="0" w:before="0" w:line="240" w:lineRule="auto"/>
            </w:pPr>
            <w:r>
              <w:rPr>
                <w:rFonts w:ascii="Arial" w:cs="Arial" w:eastAsia="Arial" w:hAnsi="Arial"/>
                <w:sz w:val="18"/>
                <w:szCs w:val="18"/>
              </w:rPr>
              <w:t xml:space="preserve">Thyroid_Cancer_Risk</w:t>
            </w:r>
          </w:p>
        </w:tc>
        <w:tc>
          <w:tcPr>
            <w:tcW w:w="1259" w:type="dxa"/>
          </w:tcPr>
          <w:p w14:paraId="2A00005C">
            <w:pPr>
              <w:spacing w:after="0" w:before="0" w:line="240" w:lineRule="auto"/>
            </w:pPr>
            <w:r>
              <w:rPr>
                <w:rFonts w:ascii="Arial" w:cs="Arial" w:eastAsia="Arial" w:hAnsi="Arial"/>
                <w:sz w:val="18"/>
                <w:szCs w:val="18"/>
              </w:rPr>
              <w:t xml:space="preserve">Ordinal</w:t>
            </w:r>
          </w:p>
        </w:tc>
        <w:tc>
          <w:tcPr>
            <w:tcW w:w="4262" w:type="dxa"/>
          </w:tcPr>
          <w:p w14:paraId="2A00005D">
            <w:pPr>
              <w:spacing w:after="0" w:before="0" w:line="240" w:lineRule="auto"/>
            </w:pPr>
            <w:r>
              <w:rPr>
                <w:rFonts w:ascii="Arial" w:cs="Arial" w:eastAsia="Arial" w:hAnsi="Arial"/>
                <w:sz w:val="18"/>
                <w:szCs w:val="18"/>
              </w:rPr>
              <w:t xml:space="preserve">Low / Medium / High (puntaje precalculado)</w:t>
            </w:r>
          </w:p>
        </w:tc>
        <w:tc>
          <w:tcPr>
            <w:tcW w:w="1550" w:type="dxa"/>
          </w:tcPr>
          <w:p w14:paraId="2A00005E">
            <w:pPr>
              <w:spacing w:after="0" w:before="0" w:line="240" w:lineRule="auto"/>
            </w:pPr>
            <w:r>
              <w:rPr>
                <w:rFonts w:ascii="Arial" w:cs="Arial" w:eastAsia="Arial" w:hAnsi="Arial"/>
                <w:sz w:val="18"/>
                <w:szCs w:val="18"/>
              </w:rPr>
              <w:t xml:space="preserve">Excluida (referencia)</w:t>
            </w:r>
          </w:p>
        </w:tc>
      </w:tr>
      <w:tr>
        <w:trPr>
          <w:cantSplit/>
        </w:trPr>
        <w:tc>
          <w:tcPr>
            <w:tcW w:w="2228" w:type="dxa"/>
          </w:tcPr>
          <w:p w14:paraId="2A00005F">
            <w:pPr>
              <w:spacing w:after="0" w:before="0" w:line="240" w:lineRule="auto"/>
            </w:pPr>
            <w:r>
              <w:rPr>
                <w:rFonts w:ascii="Arial" w:cs="Arial" w:eastAsia="Arial" w:hAnsi="Arial"/>
                <w:sz w:val="18"/>
                <w:szCs w:val="18"/>
              </w:rPr>
              <w:t xml:space="preserve">Diagnosis</w:t>
            </w:r>
          </w:p>
        </w:tc>
        <w:tc>
          <w:tcPr>
            <w:tcW w:w="1259" w:type="dxa"/>
          </w:tcPr>
          <w:p w14:paraId="2A000060">
            <w:pPr>
              <w:spacing w:after="0" w:before="0" w:line="240" w:lineRule="auto"/>
            </w:pPr>
            <w:r>
              <w:rPr>
                <w:rFonts w:ascii="Arial" w:cs="Arial" w:eastAsia="Arial" w:hAnsi="Arial"/>
                <w:sz w:val="18"/>
                <w:szCs w:val="18"/>
              </w:rPr>
              <w:t xml:space="preserve">Binaria</w:t>
            </w:r>
          </w:p>
        </w:tc>
        <w:tc>
          <w:tcPr>
            <w:tcW w:w="4262" w:type="dxa"/>
          </w:tcPr>
          <w:p w14:paraId="2A000061">
            <w:pPr>
              <w:spacing w:after="0" w:before="0" w:line="240" w:lineRule="auto"/>
            </w:pPr>
            <w:r>
              <w:rPr>
                <w:rFonts w:ascii="Arial" w:cs="Arial" w:eastAsia="Arial" w:hAnsi="Arial"/>
                <w:sz w:val="18"/>
                <w:szCs w:val="18"/>
              </w:rPr>
              <w:t xml:space="preserve">Benign / Malignant</w:t>
            </w:r>
          </w:p>
        </w:tc>
        <w:tc>
          <w:tcPr>
            <w:tcW w:w="1550" w:type="dxa"/>
          </w:tcPr>
          <w:p w14:paraId="2A000062">
            <w:pPr>
              <w:spacing w:after="0" w:before="0" w:line="240" w:lineRule="auto"/>
            </w:pPr>
            <w:r>
              <w:rPr>
                <w:rFonts w:ascii="Arial" w:cs="Arial" w:eastAsia="Arial" w:hAnsi="Arial"/>
                <w:sz w:val="18"/>
                <w:szCs w:val="18"/>
              </w:rPr>
              <w:t xml:space="preserve">Objetivo</w:t>
            </w:r>
          </w:p>
        </w:tc>
      </w:tr>
    </w:tbl>
    <w:p w14:paraId="2A000063">
      <w:pPr>
        <w:spacing w:after="60" w:before="0" w:line="276" w:lineRule="auto"/>
        <w:jc w:val="both"/>
      </w:pPr>
    </w:p>
    <w:p w14:paraId="2A000064">
      <w:pPr>
        <w:keepNext/>
        <w:spacing w:after="160" w:before="240" w:lineRule="auto"/>
      </w:pPr>
      <w:r>
        <w:rPr>
          <w:b w:val="1"/>
          <w:bCs w:val="1"/>
          <w:sz w:val="32"/>
          <w:szCs w:val="32"/>
        </w:rPr>
        <w:t xml:space="preserve">2.6 Licencia o condiciones de uso</w:t>
      </w:r>
    </w:p>
    <w:p w14:paraId="2A000065">
      <w:pPr>
        <w:spacing w:after="120" w:before="120" w:line="276" w:lineRule="auto"/>
        <w:jc w:val="both"/>
      </w:pPr>
      <w:r>
        <w:rPr>
          <w:rFonts w:ascii="Arial" w:cs="Arial" w:eastAsia="Arial" w:hAnsi="Arial"/>
          <w:sz w:val="24"/>
          <w:szCs w:val="24"/>
        </w:rPr>
        <w:t xml:space="preserve">El dataset es de acceso público en Kaggle y se utiliza exclusivamente con fines académicos. [COMPLETAR: licencia exacta indicada en la página del dataset, por ejemplo CC0, CC BY 4.0 u otra]. Los datos no contienen información personal identificable (el Patient_ID es un correlativo).</w:t>
      </w:r>
    </w:p>
    <w:p w14:paraId="2A000066">
      <w:pPr>
        <w:keepNext/>
        <w:spacing w:after="160" w:before="240" w:lineRule="auto"/>
      </w:pPr>
      <w:r>
        <w:rPr>
          <w:b w:val="1"/>
          <w:bCs w:val="1"/>
          <w:sz w:val="32"/>
          <w:szCs w:val="32"/>
        </w:rPr>
        <w:t xml:space="preserve">2.7 Limitaciones conocidas del dataset</w:t>
      </w:r>
    </w:p>
    <w:p w14:paraId="2A000067">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Origen probablemente sintético.</w:t>
      </w:r>
      <w:r>
        <w:rPr>
          <w:rFonts w:ascii="Arial" w:cs="Arial" w:eastAsia="Arial" w:hAnsi="Arial"/>
          <w:sz w:val="24"/>
          <w:szCs w:val="24"/>
        </w:rPr>
        <w:t xml:space="preserve"> Las variables numéricas tienen distribuciones uniformes, las hormonas no se correlacionan entre sí (en la realidad TSH y T4 están relacionadas), la composición étnica es idéntica en todos los países y las proporciones de las binarias son números redondos (60/40, 70/30, 85/15). Los resultados no deben extrapolarse a pacientes reales.</w:t>
      </w:r>
    </w:p>
    <w:p w14:paraId="2A000068">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Señal predictiva débil.</w:t>
      </w:r>
      <w:r>
        <w:rPr>
          <w:rFonts w:ascii="Arial" w:cs="Arial" w:eastAsia="Arial" w:hAnsi="Arial"/>
          <w:sz w:val="24"/>
          <w:szCs w:val="24"/>
        </w:rPr>
        <w:t xml:space="preserve"> El perfil hormonal, el tamaño del nódulo y la edad no difieren entre benignos y malignos.</w:t>
      </w:r>
    </w:p>
    <w:p w14:paraId="2A000069">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Variable de riesgo de origen desconocido.</w:t>
      </w:r>
      <w:r>
        <w:rPr>
          <w:rFonts w:ascii="Arial" w:cs="Arial" w:eastAsia="Arial" w:hAnsi="Arial"/>
          <w:sz w:val="24"/>
          <w:szCs w:val="24"/>
        </w:rPr>
        <w:t xml:space="preserve"> Thyroid_Cancer_Risk es un puntaje precalculado sin documentación sobre cómo ni cuándo se obtuvo; además, las categorías Low y Medium son indistinguibles.</w:t>
      </w:r>
    </w:p>
    <w:p w14:paraId="2A00006A">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Ausencia de variables clínicas clave</w:t>
      </w:r>
      <w:r>
        <w:rPr>
          <w:rFonts w:ascii="Arial" w:cs="Arial" w:eastAsia="Arial" w:hAnsi="Arial"/>
          <w:sz w:val="24"/>
          <w:szCs w:val="24"/>
        </w:rPr>
        <w:t xml:space="preserve">, como la clasificación ecográfica (TI-RADS), la citología (Bethesda) o las características morfológicas del nódulo.</w:t>
      </w:r>
    </w:p>
    <w:p w14:paraId="2A00006B">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Sin dimensión temporal</w:t>
      </w:r>
      <w:r>
        <w:rPr>
          <w:rFonts w:ascii="Arial" w:cs="Arial" w:eastAsia="Arial" w:hAnsi="Arial"/>
          <w:sz w:val="24"/>
          <w:szCs w:val="24"/>
        </w:rPr>
        <w:t xml:space="preserve"> ni información sobre unidades exactas de laboratorio.</w:t>
      </w:r>
    </w:p>
    <w:p w14:paraId="2A00006C">
      <w:pPr>
        <w:keepNext/>
        <w:spacing w:after="160" w:before="240" w:lineRule="auto"/>
      </w:pPr>
      <w:r>
        <w:rPr>
          <w:b w:val="1"/>
          <w:bCs w:val="1"/>
          <w:sz w:val="32"/>
          <w:szCs w:val="32"/>
        </w:rPr>
        <w:t xml:space="preserve">2.8 Justificación de por qué el dataset es adecuado para el problema</w:t>
      </w:r>
    </w:p>
    <w:p w14:paraId="2A00006D">
      <w:pPr>
        <w:spacing w:after="120" w:before="120" w:line="276" w:lineRule="auto"/>
        <w:jc w:val="both"/>
      </w:pPr>
      <w:r>
        <w:rPr>
          <w:rFonts w:ascii="Arial" w:cs="Arial" w:eastAsia="Arial" w:hAnsi="Arial"/>
          <w:sz w:val="24"/>
          <w:szCs w:val="24"/>
        </w:rPr>
        <w:t xml:space="preserve">A pesar de sus limitaciones, el dataset es adecuado para el objetivo académico del proyecto: (1) contiene una variable objetivo binaria claramente definida; (2) su tamaño (más de 212 mil registros) permite separar train, validation y test con estimaciones estables; (3) combina variables numéricas y categóricas, lo que obliga a diseñar un preprocesamiento diferenciado; (4) presenta desbalance de clases, que exige elegir métricas apropiadas; y (5) sus problemas de validez son en sí mismos un caso de estudio sobre análisis crítico, fuga de información e interpretación responsable.</w:t>
      </w:r>
    </w:p>
    <w:p w14:paraId="2A00006E">
      <w:pPr>
        <w:spacing w:after="240" w:before="240" w:lineRule="auto"/>
      </w:pPr>
      <w:r>
        <w:br w:type="page"/>
      </w:r>
      <w:r>
        <w:rPr>
          <w:b w:val="1"/>
          <w:bCs w:val="1"/>
          <w:sz w:val="36"/>
          <w:szCs w:val="36"/>
        </w:rPr>
        <w:t xml:space="preserve">3. Análisis Exploratorio de Datos (EDA)</w:t>
      </w:r>
    </w:p>
    <w:p w14:paraId="2A00006F">
      <w:pPr>
        <w:spacing w:after="120" w:before="120" w:line="276" w:lineRule="auto"/>
        <w:jc w:val="both"/>
      </w:pPr>
      <w:r>
        <w:rPr>
          <w:rFonts w:ascii="Arial" w:cs="Arial" w:eastAsia="Arial" w:hAnsi="Arial"/>
          <w:sz w:val="24"/>
          <w:szCs w:val="24"/>
        </w:rPr>
        <w:t xml:space="preserve">El EDA se organizó en torno a preguntas concretas: ¿qué tan desbalanceado está el diagnóstico?, ¿qué variables diferencian a los pacientes malignos de los benignos?, ¿qué relación existe entre el puntaje de riesgo y el diagnóstico? y ¿hay patrones que comprometan la validez de los datos? En cada caso se distingue lo que muestran los datos de la interpretación del grupo.</w:t>
      </w:r>
    </w:p>
    <w:p w14:paraId="2A000070">
      <w:pPr>
        <w:keepNext/>
        <w:spacing w:after="160" w:before="240" w:lineRule="auto"/>
      </w:pPr>
      <w:r>
        <w:rPr>
          <w:b w:val="1"/>
          <w:bCs w:val="1"/>
          <w:sz w:val="32"/>
          <w:szCs w:val="32"/>
        </w:rPr>
        <w:t xml:space="preserve">3.1 Distribuciones relevantes</w:t>
      </w:r>
    </w:p>
    <w:p w14:paraId="2A000071">
      <w:pPr>
        <w:keepNext/>
        <w:spacing w:before="120" w:after="0"/>
        <w:jc w:val="center"/>
      </w:pPr>
      <w:r>
        <w:drawing>
          <wp:inline distT="0" distB="0" distL="0" distR="0">
            <wp:extent cx="5852160" cy="1597732"/>
            <wp:docPr id="101" name="02_numericas_por_diagnostico"/>
            <a:graphic xmlns:a="http://schemas.openxmlformats.org/drawingml/2006/main">
              <a:graphicData uri="http://schemas.openxmlformats.org/drawingml/2006/picture">
                <pic:pic xmlns:pic="http://schemas.openxmlformats.org/drawingml/2006/picture">
                  <pic:nvPicPr>
                    <pic:cNvPr id="101" name="02_numericas_por_diagnostico.png"/>
                    <pic:cNvPicPr/>
                  </pic:nvPicPr>
                  <pic:blipFill>
                    <a:blip r:embed="rIdFig101"/>
                    <a:stretch>
                      <a:fillRect/>
                    </a:stretch>
                  </pic:blipFill>
                  <pic:spPr>
                    <a:xfrm>
                      <a:off x="0" y="0"/>
                      <a:ext cx="5852160" cy="1597732"/>
                    </a:xfrm>
                    <a:prstGeom prst="rect">
                      <a:avLst/>
                    </a:prstGeom>
                  </pic:spPr>
                </pic:pic>
              </a:graphicData>
            </a:graphic>
          </wp:inline>
        </w:drawing>
      </w:r>
    </w:p>
    <w:p w14:paraId="2A000072">
      <w:pPr>
        <w:spacing w:after="160" w:before="40" w:line="276" w:lineRule="auto"/>
        <w:jc w:val="center"/>
      </w:pPr>
      <w:r>
        <w:rPr>
          <w:rFonts w:ascii="Arial" w:cs="Arial" w:eastAsia="Arial" w:hAnsi="Arial"/>
          <w:i w:val="1"/>
          <w:sz w:val="18"/>
          <w:szCs w:val="18"/>
        </w:rPr>
        <w:t xml:space="preserve">Figura 1. Densidad de las variables numéricas según diagnóstico.</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1860"/>
        <w:gridCol w:w="1860"/>
        <w:gridCol w:w="1860"/>
        <w:gridCol w:w="1860"/>
        <w:gridCol w:w="1860"/>
      </w:tblGrid>
      <w:tr>
        <w:trPr>
          <w:tblHeader/>
          <w:cantSplit/>
        </w:trPr>
        <w:tc>
          <w:tcPr>
            <w:tcW w:w="1860" w:type="dxa"/>
            <w:shd w:val="clear" w:color="auto" w:fill="1F3864"/>
          </w:tcPr>
          <w:p w14:paraId="2A000073">
            <w:pPr>
              <w:spacing w:after="0" w:before="0" w:line="240" w:lineRule="auto"/>
            </w:pPr>
            <w:r>
              <w:rPr>
                <w:rFonts w:ascii="Arial" w:cs="Arial" w:eastAsia="Arial" w:hAnsi="Arial"/>
                <w:b w:val="1"/>
                <w:bCs w:val="1"/>
                <w:color w:val="FFFFFF"/>
                <w:sz w:val="18"/>
                <w:szCs w:val="18"/>
              </w:rPr>
              <w:t xml:space="preserve">Variable</w:t>
            </w:r>
          </w:p>
        </w:tc>
        <w:tc>
          <w:tcPr>
            <w:tcW w:w="1860" w:type="dxa"/>
            <w:shd w:val="clear" w:color="auto" w:fill="1F3864"/>
          </w:tcPr>
          <w:p w14:paraId="2A000074">
            <w:pPr>
              <w:spacing w:after="0" w:before="0" w:line="240" w:lineRule="auto"/>
            </w:pPr>
            <w:r>
              <w:rPr>
                <w:rFonts w:ascii="Arial" w:cs="Arial" w:eastAsia="Arial" w:hAnsi="Arial"/>
                <w:b w:val="1"/>
                <w:bCs w:val="1"/>
                <w:color w:val="FFFFFF"/>
                <w:sz w:val="18"/>
                <w:szCs w:val="18"/>
              </w:rPr>
              <w:t xml:space="preserve">Media Benign</w:t>
            </w:r>
          </w:p>
        </w:tc>
        <w:tc>
          <w:tcPr>
            <w:tcW w:w="1860" w:type="dxa"/>
            <w:shd w:val="clear" w:color="auto" w:fill="1F3864"/>
          </w:tcPr>
          <w:p w14:paraId="2A000075">
            <w:pPr>
              <w:spacing w:after="0" w:before="0" w:line="240" w:lineRule="auto"/>
            </w:pPr>
            <w:r>
              <w:rPr>
                <w:rFonts w:ascii="Arial" w:cs="Arial" w:eastAsia="Arial" w:hAnsi="Arial"/>
                <w:b w:val="1"/>
                <w:bCs w:val="1"/>
                <w:color w:val="FFFFFF"/>
                <w:sz w:val="18"/>
                <w:szCs w:val="18"/>
              </w:rPr>
              <w:t xml:space="preserve">Media Malignant</w:t>
            </w:r>
          </w:p>
        </w:tc>
        <w:tc>
          <w:tcPr>
            <w:tcW w:w="1860" w:type="dxa"/>
            <w:shd w:val="clear" w:color="auto" w:fill="1F3864"/>
          </w:tcPr>
          <w:p w14:paraId="2A000076">
            <w:pPr>
              <w:spacing w:after="0" w:before="0" w:line="240" w:lineRule="auto"/>
            </w:pPr>
            <w:r>
              <w:rPr>
                <w:rFonts w:ascii="Arial" w:cs="Arial" w:eastAsia="Arial" w:hAnsi="Arial"/>
                <w:b w:val="1"/>
                <w:bCs w:val="1"/>
                <w:color w:val="FFFFFF"/>
                <w:sz w:val="18"/>
                <w:szCs w:val="18"/>
              </w:rPr>
              <w:t xml:space="preserve">Diferencia</w:t>
            </w:r>
          </w:p>
        </w:tc>
        <w:tc>
          <w:tcPr>
            <w:tcW w:w="1860" w:type="dxa"/>
            <w:shd w:val="clear" w:color="auto" w:fill="1F3864"/>
          </w:tcPr>
          <w:p w14:paraId="2A000077">
            <w:pPr>
              <w:spacing w:after="0" w:before="0" w:line="240" w:lineRule="auto"/>
            </w:pPr>
            <w:r>
              <w:rPr>
                <w:rFonts w:ascii="Arial" w:cs="Arial" w:eastAsia="Arial" w:hAnsi="Arial"/>
                <w:b w:val="1"/>
                <w:bCs w:val="1"/>
                <w:color w:val="FFFFFF"/>
                <w:sz w:val="18"/>
                <w:szCs w:val="18"/>
              </w:rPr>
              <w:t xml:space="preserve">p-valor (Mann-Whitney)</w:t>
            </w:r>
          </w:p>
        </w:tc>
      </w:tr>
      <w:tr>
        <w:trPr>
          <w:cantSplit/>
        </w:trPr>
        <w:tc>
          <w:tcPr>
            <w:tcW w:w="1860" w:type="dxa"/>
          </w:tcPr>
          <w:p w14:paraId="2A000078">
            <w:pPr>
              <w:spacing w:after="0" w:before="0" w:line="240" w:lineRule="auto"/>
            </w:pPr>
            <w:r>
              <w:rPr>
                <w:rFonts w:ascii="Arial" w:cs="Arial" w:eastAsia="Arial" w:hAnsi="Arial"/>
                <w:sz w:val="18"/>
                <w:szCs w:val="18"/>
              </w:rPr>
              <w:t xml:space="preserve">Age</w:t>
            </w:r>
          </w:p>
        </w:tc>
        <w:tc>
          <w:tcPr>
            <w:tcW w:w="1860" w:type="dxa"/>
          </w:tcPr>
          <w:p w14:paraId="2A000079">
            <w:pPr>
              <w:spacing w:after="0" w:before="0" w:line="240" w:lineRule="auto"/>
            </w:pPr>
            <w:r>
              <w:rPr>
                <w:rFonts w:ascii="Arial" w:cs="Arial" w:eastAsia="Arial" w:hAnsi="Arial"/>
                <w:sz w:val="18"/>
                <w:szCs w:val="18"/>
              </w:rPr>
              <w:t xml:space="preserve">51.917</w:t>
            </w:r>
          </w:p>
        </w:tc>
        <w:tc>
          <w:tcPr>
            <w:tcW w:w="1860" w:type="dxa"/>
          </w:tcPr>
          <w:p w14:paraId="2A00007A">
            <w:pPr>
              <w:spacing w:after="0" w:before="0" w:line="240" w:lineRule="auto"/>
            </w:pPr>
            <w:r>
              <w:rPr>
                <w:rFonts w:ascii="Arial" w:cs="Arial" w:eastAsia="Arial" w:hAnsi="Arial"/>
                <w:sz w:val="18"/>
                <w:szCs w:val="18"/>
              </w:rPr>
              <w:t xml:space="preserve">51.923</w:t>
            </w:r>
          </w:p>
        </w:tc>
        <w:tc>
          <w:tcPr>
            <w:tcW w:w="1860" w:type="dxa"/>
          </w:tcPr>
          <w:p w14:paraId="2A00007B">
            <w:pPr>
              <w:spacing w:after="0" w:before="0" w:line="240" w:lineRule="auto"/>
            </w:pPr>
            <w:r>
              <w:rPr>
                <w:rFonts w:ascii="Arial" w:cs="Arial" w:eastAsia="Arial" w:hAnsi="Arial"/>
                <w:sz w:val="18"/>
                <w:szCs w:val="18"/>
              </w:rPr>
              <w:t xml:space="preserve">0.006</w:t>
            </w:r>
          </w:p>
        </w:tc>
        <w:tc>
          <w:tcPr>
            <w:tcW w:w="1860" w:type="dxa"/>
          </w:tcPr>
          <w:p w14:paraId="2A00007C">
            <w:pPr>
              <w:spacing w:after="0" w:before="0" w:line="240" w:lineRule="auto"/>
            </w:pPr>
            <w:r>
              <w:rPr>
                <w:rFonts w:ascii="Arial" w:cs="Arial" w:eastAsia="Arial" w:hAnsi="Arial"/>
                <w:sz w:val="18"/>
                <w:szCs w:val="18"/>
              </w:rPr>
              <w:t xml:space="preserve">0.958</w:t>
            </w:r>
          </w:p>
        </w:tc>
      </w:tr>
      <w:tr>
        <w:trPr>
          <w:cantSplit/>
        </w:trPr>
        <w:tc>
          <w:tcPr>
            <w:tcW w:w="1860" w:type="dxa"/>
          </w:tcPr>
          <w:p w14:paraId="2A00007D">
            <w:pPr>
              <w:spacing w:after="0" w:before="0" w:line="240" w:lineRule="auto"/>
            </w:pPr>
            <w:r>
              <w:rPr>
                <w:rFonts w:ascii="Arial" w:cs="Arial" w:eastAsia="Arial" w:hAnsi="Arial"/>
                <w:sz w:val="18"/>
                <w:szCs w:val="18"/>
              </w:rPr>
              <w:t xml:space="preserve">TSH_Level</w:t>
            </w:r>
          </w:p>
        </w:tc>
        <w:tc>
          <w:tcPr>
            <w:tcW w:w="1860" w:type="dxa"/>
          </w:tcPr>
          <w:p w14:paraId="2A00007E">
            <w:pPr>
              <w:spacing w:after="0" w:before="0" w:line="240" w:lineRule="auto"/>
            </w:pPr>
            <w:r>
              <w:rPr>
                <w:rFonts w:ascii="Arial" w:cs="Arial" w:eastAsia="Arial" w:hAnsi="Arial"/>
                <w:sz w:val="18"/>
                <w:szCs w:val="18"/>
              </w:rPr>
              <w:t xml:space="preserve">5.049</w:t>
            </w:r>
          </w:p>
        </w:tc>
        <w:tc>
          <w:tcPr>
            <w:tcW w:w="1860" w:type="dxa"/>
          </w:tcPr>
          <w:p w14:paraId="2A00007F">
            <w:pPr>
              <w:spacing w:after="0" w:before="0" w:line="240" w:lineRule="auto"/>
            </w:pPr>
            <w:r>
              <w:rPr>
                <w:rFonts w:ascii="Arial" w:cs="Arial" w:eastAsia="Arial" w:hAnsi="Arial"/>
                <w:sz w:val="18"/>
                <w:szCs w:val="18"/>
              </w:rPr>
              <w:t xml:space="preserve">5.031</w:t>
            </w:r>
          </w:p>
        </w:tc>
        <w:tc>
          <w:tcPr>
            <w:tcW w:w="1860" w:type="dxa"/>
          </w:tcPr>
          <w:p w14:paraId="2A000080">
            <w:pPr>
              <w:spacing w:after="0" w:before="0" w:line="240" w:lineRule="auto"/>
            </w:pPr>
            <w:r>
              <w:rPr>
                <w:rFonts w:ascii="Arial" w:cs="Arial" w:eastAsia="Arial" w:hAnsi="Arial"/>
                <w:sz w:val="18"/>
                <w:szCs w:val="18"/>
              </w:rPr>
              <w:t xml:space="preserve">−0.018</w:t>
            </w:r>
          </w:p>
        </w:tc>
        <w:tc>
          <w:tcPr>
            <w:tcW w:w="1860" w:type="dxa"/>
          </w:tcPr>
          <w:p w14:paraId="2A000081">
            <w:pPr>
              <w:spacing w:after="0" w:before="0" w:line="240" w:lineRule="auto"/>
            </w:pPr>
            <w:r>
              <w:rPr>
                <w:rFonts w:ascii="Arial" w:cs="Arial" w:eastAsia="Arial" w:hAnsi="Arial"/>
                <w:sz w:val="18"/>
                <w:szCs w:val="18"/>
              </w:rPr>
              <w:t xml:space="preserve">0.219</w:t>
            </w:r>
          </w:p>
        </w:tc>
      </w:tr>
      <w:tr>
        <w:trPr>
          <w:cantSplit/>
        </w:trPr>
        <w:tc>
          <w:tcPr>
            <w:tcW w:w="1860" w:type="dxa"/>
          </w:tcPr>
          <w:p w14:paraId="2A000082">
            <w:pPr>
              <w:spacing w:after="0" w:before="0" w:line="240" w:lineRule="auto"/>
            </w:pPr>
            <w:r>
              <w:rPr>
                <w:rFonts w:ascii="Arial" w:cs="Arial" w:eastAsia="Arial" w:hAnsi="Arial"/>
                <w:sz w:val="18"/>
                <w:szCs w:val="18"/>
              </w:rPr>
              <w:t xml:space="preserve">T3_Level</w:t>
            </w:r>
          </w:p>
        </w:tc>
        <w:tc>
          <w:tcPr>
            <w:tcW w:w="1860" w:type="dxa"/>
          </w:tcPr>
          <w:p w14:paraId="2A000083">
            <w:pPr>
              <w:spacing w:after="0" w:before="0" w:line="240" w:lineRule="auto"/>
            </w:pPr>
            <w:r>
              <w:rPr>
                <w:rFonts w:ascii="Arial" w:cs="Arial" w:eastAsia="Arial" w:hAnsi="Arial"/>
                <w:sz w:val="18"/>
                <w:szCs w:val="18"/>
              </w:rPr>
              <w:t xml:space="preserve">2.003</w:t>
            </w:r>
          </w:p>
        </w:tc>
        <w:tc>
          <w:tcPr>
            <w:tcW w:w="1860" w:type="dxa"/>
          </w:tcPr>
          <w:p w14:paraId="2A000084">
            <w:pPr>
              <w:spacing w:after="0" w:before="0" w:line="240" w:lineRule="auto"/>
            </w:pPr>
            <w:r>
              <w:rPr>
                <w:rFonts w:ascii="Arial" w:cs="Arial" w:eastAsia="Arial" w:hAnsi="Arial"/>
                <w:sz w:val="18"/>
                <w:szCs w:val="18"/>
              </w:rPr>
              <w:t xml:space="preserve">1.998</w:t>
            </w:r>
          </w:p>
        </w:tc>
        <w:tc>
          <w:tcPr>
            <w:tcW w:w="1860" w:type="dxa"/>
          </w:tcPr>
          <w:p w14:paraId="2A000085">
            <w:pPr>
              <w:spacing w:after="0" w:before="0" w:line="240" w:lineRule="auto"/>
            </w:pPr>
            <w:r>
              <w:rPr>
                <w:rFonts w:ascii="Arial" w:cs="Arial" w:eastAsia="Arial" w:hAnsi="Arial"/>
                <w:sz w:val="18"/>
                <w:szCs w:val="18"/>
              </w:rPr>
              <w:t xml:space="preserve">−0.005</w:t>
            </w:r>
          </w:p>
        </w:tc>
        <w:tc>
          <w:tcPr>
            <w:tcW w:w="1860" w:type="dxa"/>
          </w:tcPr>
          <w:p w14:paraId="2A000086">
            <w:pPr>
              <w:spacing w:after="0" w:before="0" w:line="240" w:lineRule="auto"/>
            </w:pPr>
            <w:r>
              <w:rPr>
                <w:rFonts w:ascii="Arial" w:cs="Arial" w:eastAsia="Arial" w:hAnsi="Arial"/>
                <w:sz w:val="18"/>
                <w:szCs w:val="18"/>
              </w:rPr>
              <w:t xml:space="preserve">0.270</w:t>
            </w:r>
          </w:p>
        </w:tc>
      </w:tr>
      <w:tr>
        <w:trPr>
          <w:cantSplit/>
        </w:trPr>
        <w:tc>
          <w:tcPr>
            <w:tcW w:w="1860" w:type="dxa"/>
          </w:tcPr>
          <w:p w14:paraId="2A000087">
            <w:pPr>
              <w:spacing w:after="0" w:before="0" w:line="240" w:lineRule="auto"/>
            </w:pPr>
            <w:r>
              <w:rPr>
                <w:rFonts w:ascii="Arial" w:cs="Arial" w:eastAsia="Arial" w:hAnsi="Arial"/>
                <w:sz w:val="18"/>
                <w:szCs w:val="18"/>
              </w:rPr>
              <w:t xml:space="preserve">T4_Level</w:t>
            </w:r>
          </w:p>
        </w:tc>
        <w:tc>
          <w:tcPr>
            <w:tcW w:w="1860" w:type="dxa"/>
          </w:tcPr>
          <w:p w14:paraId="2A000088">
            <w:pPr>
              <w:spacing w:after="0" w:before="0" w:line="240" w:lineRule="auto"/>
            </w:pPr>
            <w:r>
              <w:rPr>
                <w:rFonts w:ascii="Arial" w:cs="Arial" w:eastAsia="Arial" w:hAnsi="Arial"/>
                <w:sz w:val="18"/>
                <w:szCs w:val="18"/>
              </w:rPr>
              <w:t xml:space="preserve">8.245</w:t>
            </w:r>
          </w:p>
        </w:tc>
        <w:tc>
          <w:tcPr>
            <w:tcW w:w="1860" w:type="dxa"/>
          </w:tcPr>
          <w:p w14:paraId="2A000089">
            <w:pPr>
              <w:spacing w:after="0" w:before="0" w:line="240" w:lineRule="auto"/>
            </w:pPr>
            <w:r>
              <w:rPr>
                <w:rFonts w:ascii="Arial" w:cs="Arial" w:eastAsia="Arial" w:hAnsi="Arial"/>
                <w:sz w:val="18"/>
                <w:szCs w:val="18"/>
              </w:rPr>
              <w:t xml:space="preserve">8.251</w:t>
            </w:r>
          </w:p>
        </w:tc>
        <w:tc>
          <w:tcPr>
            <w:tcW w:w="1860" w:type="dxa"/>
          </w:tcPr>
          <w:p w14:paraId="2A00008A">
            <w:pPr>
              <w:spacing w:after="0" w:before="0" w:line="240" w:lineRule="auto"/>
            </w:pPr>
            <w:r>
              <w:rPr>
                <w:rFonts w:ascii="Arial" w:cs="Arial" w:eastAsia="Arial" w:hAnsi="Arial"/>
                <w:sz w:val="18"/>
                <w:szCs w:val="18"/>
              </w:rPr>
              <w:t xml:space="preserve">0.006</w:t>
            </w:r>
          </w:p>
        </w:tc>
        <w:tc>
          <w:tcPr>
            <w:tcW w:w="1860" w:type="dxa"/>
          </w:tcPr>
          <w:p w14:paraId="2A00008B">
            <w:pPr>
              <w:spacing w:after="0" w:before="0" w:line="240" w:lineRule="auto"/>
            </w:pPr>
            <w:r>
              <w:rPr>
                <w:rFonts w:ascii="Arial" w:cs="Arial" w:eastAsia="Arial" w:hAnsi="Arial"/>
                <w:sz w:val="18"/>
                <w:szCs w:val="18"/>
              </w:rPr>
              <w:t xml:space="preserve">0.575</w:t>
            </w:r>
          </w:p>
        </w:tc>
      </w:tr>
      <w:tr>
        <w:trPr>
          <w:cantSplit/>
        </w:trPr>
        <w:tc>
          <w:tcPr>
            <w:tcW w:w="1860" w:type="dxa"/>
          </w:tcPr>
          <w:p w14:paraId="2A00008C">
            <w:pPr>
              <w:spacing w:after="0" w:before="0" w:line="240" w:lineRule="auto"/>
            </w:pPr>
            <w:r>
              <w:rPr>
                <w:rFonts w:ascii="Arial" w:cs="Arial" w:eastAsia="Arial" w:hAnsi="Arial"/>
                <w:sz w:val="18"/>
                <w:szCs w:val="18"/>
              </w:rPr>
              <w:t xml:space="preserve">Nodule_Size</w:t>
            </w:r>
          </w:p>
        </w:tc>
        <w:tc>
          <w:tcPr>
            <w:tcW w:w="1860" w:type="dxa"/>
          </w:tcPr>
          <w:p w14:paraId="2A00008D">
            <w:pPr>
              <w:spacing w:after="0" w:before="0" w:line="240" w:lineRule="auto"/>
            </w:pPr>
            <w:r>
              <w:rPr>
                <w:rFonts w:ascii="Arial" w:cs="Arial" w:eastAsia="Arial" w:hAnsi="Arial"/>
                <w:sz w:val="18"/>
                <w:szCs w:val="18"/>
              </w:rPr>
              <w:t xml:space="preserve">2.506</w:t>
            </w:r>
          </w:p>
        </w:tc>
        <w:tc>
          <w:tcPr>
            <w:tcW w:w="1860" w:type="dxa"/>
          </w:tcPr>
          <w:p w14:paraId="2A00008E">
            <w:pPr>
              <w:spacing w:after="0" w:before="0" w:line="240" w:lineRule="auto"/>
            </w:pPr>
            <w:r>
              <w:rPr>
                <w:rFonts w:ascii="Arial" w:cs="Arial" w:eastAsia="Arial" w:hAnsi="Arial"/>
                <w:sz w:val="18"/>
                <w:szCs w:val="18"/>
              </w:rPr>
              <w:t xml:space="preserve">2.496</w:t>
            </w:r>
          </w:p>
        </w:tc>
        <w:tc>
          <w:tcPr>
            <w:tcW w:w="1860" w:type="dxa"/>
          </w:tcPr>
          <w:p w14:paraId="2A00008F">
            <w:pPr>
              <w:spacing w:after="0" w:before="0" w:line="240" w:lineRule="auto"/>
            </w:pPr>
            <w:r>
              <w:rPr>
                <w:rFonts w:ascii="Arial" w:cs="Arial" w:eastAsia="Arial" w:hAnsi="Arial"/>
                <w:sz w:val="18"/>
                <w:szCs w:val="18"/>
              </w:rPr>
              <w:t xml:space="preserve">−0.010</w:t>
            </w:r>
          </w:p>
        </w:tc>
        <w:tc>
          <w:tcPr>
            <w:tcW w:w="1860" w:type="dxa"/>
          </w:tcPr>
          <w:p w14:paraId="2A000090">
            <w:pPr>
              <w:spacing w:after="0" w:before="0" w:line="240" w:lineRule="auto"/>
            </w:pPr>
            <w:r>
              <w:rPr>
                <w:rFonts w:ascii="Arial" w:cs="Arial" w:eastAsia="Arial" w:hAnsi="Arial"/>
                <w:sz w:val="18"/>
                <w:szCs w:val="18"/>
              </w:rPr>
              <w:t xml:space="preserve">0.220</w:t>
            </w:r>
          </w:p>
        </w:tc>
      </w:tr>
    </w:tbl>
    <w:p w14:paraId="2A000091">
      <w:pPr>
        <w:spacing w:after="60" w:before="0" w:line="276" w:lineRule="auto"/>
        <w:jc w:val="both"/>
      </w:pPr>
    </w:p>
    <w:p w14:paraId="2A000092">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las cinco variables numéricas tienen distribuciones aproximadamente uniformes y prácticamente idénticas en ambos grupos; ninguna diferencia es estadísticamente significativa (p &gt; 0.2).</w:t>
      </w:r>
    </w:p>
    <w:p w14:paraId="2A000093">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en este dataset ni el perfil hormonal ni el tamaño del nódulo discriminan el diagnóstico. Esto contradice la evidencia clínica y constituye una primera señal de que los datos fueron generados de manera sintética. No significa que estas variables carezcan de importancia en pacientes reales.</w:t>
      </w:r>
    </w:p>
    <w:p w14:paraId="2A000094">
      <w:pPr>
        <w:keepNext/>
        <w:spacing w:after="160" w:before="240" w:lineRule="auto"/>
      </w:pPr>
      <w:r>
        <w:rPr>
          <w:b w:val="1"/>
          <w:bCs w:val="1"/>
          <w:sz w:val="32"/>
          <w:szCs w:val="32"/>
        </w:rPr>
        <w:t xml:space="preserve">3.2 Análisis de la variable objetivo</w:t>
      </w:r>
    </w:p>
    <w:p w14:paraId="2A000095">
      <w:pPr>
        <w:keepNext/>
        <w:spacing w:before="120" w:after="0"/>
        <w:jc w:val="center"/>
      </w:pPr>
      <w:r>
        <w:drawing>
          <wp:inline distT="0" distB="0" distL="0" distR="0">
            <wp:extent cx="3840480" cy="2522106"/>
            <wp:docPr id="102" name="01_target"/>
            <a:graphic xmlns:a="http://schemas.openxmlformats.org/drawingml/2006/main">
              <a:graphicData uri="http://schemas.openxmlformats.org/drawingml/2006/picture">
                <pic:pic xmlns:pic="http://schemas.openxmlformats.org/drawingml/2006/picture">
                  <pic:nvPicPr>
                    <pic:cNvPr id="102" name="01_target.png"/>
                    <pic:cNvPicPr/>
                  </pic:nvPicPr>
                  <pic:blipFill>
                    <a:blip r:embed="rIdFig102"/>
                    <a:stretch>
                      <a:fillRect/>
                    </a:stretch>
                  </pic:blipFill>
                  <pic:spPr>
                    <a:xfrm>
                      <a:off x="0" y="0"/>
                      <a:ext cx="3840480" cy="2522106"/>
                    </a:xfrm>
                    <a:prstGeom prst="rect">
                      <a:avLst/>
                    </a:prstGeom>
                  </pic:spPr>
                </pic:pic>
              </a:graphicData>
            </a:graphic>
          </wp:inline>
        </w:drawing>
      </w:r>
    </w:p>
    <w:p w14:paraId="2A000096">
      <w:pPr>
        <w:spacing w:after="160" w:before="40" w:line="276" w:lineRule="auto"/>
        <w:jc w:val="center"/>
      </w:pPr>
      <w:r>
        <w:rPr>
          <w:rFonts w:ascii="Arial" w:cs="Arial" w:eastAsia="Arial" w:hAnsi="Arial"/>
          <w:i w:val="1"/>
          <w:sz w:val="18"/>
          <w:szCs w:val="18"/>
        </w:rPr>
        <w:t xml:space="preserve">Figura 2. Distribución de la variable objetivo Diagnosis.</w:t>
      </w:r>
    </w:p>
    <w:p w14:paraId="2A000097">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76.7 % de los pacientes son benignos y 23.3 % malignos (razón aproximada 3.3 : 1).</w:t>
      </w:r>
    </w:p>
    <w:p w14:paraId="2A000098">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el desbalance es moderado. Un modelo que prediga siempre «Benign» obtendría 76.7 % de accuracy sin detectar ningún caso maligno; por ello se descarta la accuracy como métrica principal y se emplean recall, precisión, F1, ROC-AUC y PR-AUC, junto con separación estratificada y pesos balanceados por clase.</w:t>
      </w:r>
    </w:p>
    <w:p w14:paraId="2A000099">
      <w:pPr>
        <w:keepNext/>
        <w:spacing w:after="160" w:before="240" w:lineRule="auto"/>
      </w:pPr>
      <w:r>
        <w:rPr>
          <w:b w:val="1"/>
          <w:bCs w:val="1"/>
          <w:sz w:val="32"/>
          <w:szCs w:val="32"/>
        </w:rPr>
        <w:t xml:space="preserve">3.3 Relaciones entre variables</w:t>
      </w:r>
    </w:p>
    <w:p w14:paraId="2A00009A">
      <w:pPr>
        <w:keepNext/>
        <w:spacing w:before="120" w:after="0"/>
        <w:jc w:val="center"/>
      </w:pPr>
      <w:r>
        <w:drawing>
          <wp:inline distT="0" distB="0" distL="0" distR="0">
            <wp:extent cx="5120640" cy="2694304"/>
            <wp:docPr id="103" name="03_tasa_malignidad_binarias"/>
            <a:graphic xmlns:a="http://schemas.openxmlformats.org/drawingml/2006/main">
              <a:graphicData uri="http://schemas.openxmlformats.org/drawingml/2006/picture">
                <pic:pic xmlns:pic="http://schemas.openxmlformats.org/drawingml/2006/picture">
                  <pic:nvPicPr>
                    <pic:cNvPr id="103" name="03_tasa_malignidad_binarias.png"/>
                    <pic:cNvPicPr/>
                  </pic:nvPicPr>
                  <pic:blipFill>
                    <a:blip r:embed="rIdFig103"/>
                    <a:stretch>
                      <a:fillRect/>
                    </a:stretch>
                  </pic:blipFill>
                  <pic:spPr>
                    <a:xfrm>
                      <a:off x="0" y="0"/>
                      <a:ext cx="5120640" cy="2694304"/>
                    </a:xfrm>
                    <a:prstGeom prst="rect">
                      <a:avLst/>
                    </a:prstGeom>
                  </pic:spPr>
                </pic:pic>
              </a:graphicData>
            </a:graphic>
          </wp:inline>
        </w:drawing>
      </w:r>
    </w:p>
    <w:p w14:paraId="2A00009B">
      <w:pPr>
        <w:spacing w:after="160" w:before="40" w:line="276" w:lineRule="auto"/>
        <w:jc w:val="center"/>
      </w:pPr>
      <w:r>
        <w:rPr>
          <w:rFonts w:ascii="Arial" w:cs="Arial" w:eastAsia="Arial" w:hAnsi="Arial"/>
          <w:i w:val="1"/>
          <w:sz w:val="18"/>
          <w:szCs w:val="18"/>
        </w:rPr>
        <w:t xml:space="preserve">Figura 3. Porcentaje de diagnósticos malignos según cada factor binario.</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1860"/>
        <w:gridCol w:w="1860"/>
        <w:gridCol w:w="1860"/>
        <w:gridCol w:w="1860"/>
        <w:gridCol w:w="1860"/>
      </w:tblGrid>
      <w:tr>
        <w:trPr>
          <w:tblHeader/>
          <w:cantSplit/>
        </w:trPr>
        <w:tc>
          <w:tcPr>
            <w:tcW w:w="1860" w:type="dxa"/>
            <w:shd w:val="clear" w:color="auto" w:fill="1F3864"/>
          </w:tcPr>
          <w:p w14:paraId="2A00009C">
            <w:pPr>
              <w:spacing w:after="0" w:before="0" w:line="240" w:lineRule="auto"/>
            </w:pPr>
            <w:r>
              <w:rPr>
                <w:rFonts w:ascii="Arial" w:cs="Arial" w:eastAsia="Arial" w:hAnsi="Arial"/>
                <w:b w:val="1"/>
                <w:bCs w:val="1"/>
                <w:color w:val="FFFFFF"/>
                <w:sz w:val="18"/>
                <w:szCs w:val="18"/>
              </w:rPr>
              <w:t xml:space="preserve">Factor</w:t>
            </w:r>
          </w:p>
        </w:tc>
        <w:tc>
          <w:tcPr>
            <w:tcW w:w="1860" w:type="dxa"/>
            <w:shd w:val="clear" w:color="auto" w:fill="1F3864"/>
          </w:tcPr>
          <w:p w14:paraId="2A00009D">
            <w:pPr>
              <w:spacing w:after="0" w:before="0" w:line="240" w:lineRule="auto"/>
            </w:pPr>
            <w:r>
              <w:rPr>
                <w:rFonts w:ascii="Arial" w:cs="Arial" w:eastAsia="Arial" w:hAnsi="Arial"/>
                <w:b w:val="1"/>
                <w:bCs w:val="1"/>
                <w:color w:val="FFFFFF"/>
                <w:sz w:val="18"/>
                <w:szCs w:val="18"/>
              </w:rPr>
              <w:t xml:space="preserve">% malignos (Sí)</w:t>
            </w:r>
          </w:p>
        </w:tc>
        <w:tc>
          <w:tcPr>
            <w:tcW w:w="1860" w:type="dxa"/>
            <w:shd w:val="clear" w:color="auto" w:fill="1F3864"/>
          </w:tcPr>
          <w:p w14:paraId="2A00009E">
            <w:pPr>
              <w:spacing w:after="0" w:before="0" w:line="240" w:lineRule="auto"/>
            </w:pPr>
            <w:r>
              <w:rPr>
                <w:rFonts w:ascii="Arial" w:cs="Arial" w:eastAsia="Arial" w:hAnsi="Arial"/>
                <w:b w:val="1"/>
                <w:bCs w:val="1"/>
                <w:color w:val="FFFFFF"/>
                <w:sz w:val="18"/>
                <w:szCs w:val="18"/>
              </w:rPr>
              <w:t xml:space="preserve">% malignos (No)</w:t>
            </w:r>
          </w:p>
        </w:tc>
        <w:tc>
          <w:tcPr>
            <w:tcW w:w="1860" w:type="dxa"/>
            <w:shd w:val="clear" w:color="auto" w:fill="1F3864"/>
          </w:tcPr>
          <w:p w14:paraId="2A00009F">
            <w:pPr>
              <w:spacing w:after="0" w:before="0" w:line="240" w:lineRule="auto"/>
            </w:pPr>
            <w:r>
              <w:rPr>
                <w:rFonts w:ascii="Arial" w:cs="Arial" w:eastAsia="Arial" w:hAnsi="Arial"/>
                <w:b w:val="1"/>
                <w:bCs w:val="1"/>
                <w:color w:val="FFFFFF"/>
                <w:sz w:val="18"/>
                <w:szCs w:val="18"/>
              </w:rPr>
              <w:t xml:space="preserve">Riesgo relativo</w:t>
            </w:r>
          </w:p>
        </w:tc>
        <w:tc>
          <w:tcPr>
            <w:tcW w:w="1860" w:type="dxa"/>
            <w:shd w:val="clear" w:color="auto" w:fill="1F3864"/>
          </w:tcPr>
          <w:p w14:paraId="2A0000A0">
            <w:pPr>
              <w:spacing w:after="0" w:before="0" w:line="240" w:lineRule="auto"/>
            </w:pPr>
            <w:r>
              <w:rPr>
                <w:rFonts w:ascii="Arial" w:cs="Arial" w:eastAsia="Arial" w:hAnsi="Arial"/>
                <w:b w:val="1"/>
                <w:bCs w:val="1"/>
                <w:color w:val="FFFFFF"/>
                <w:sz w:val="18"/>
                <w:szCs w:val="18"/>
              </w:rPr>
              <w:t xml:space="preserve">V de Cramér</w:t>
            </w:r>
          </w:p>
        </w:tc>
      </w:tr>
      <w:tr>
        <w:trPr>
          <w:cantSplit/>
        </w:trPr>
        <w:tc>
          <w:tcPr>
            <w:tcW w:w="1860" w:type="dxa"/>
          </w:tcPr>
          <w:p w14:paraId="2A0000A1">
            <w:pPr>
              <w:spacing w:after="0" w:before="0" w:line="240" w:lineRule="auto"/>
            </w:pPr>
            <w:r>
              <w:rPr>
                <w:rFonts w:ascii="Arial" w:cs="Arial" w:eastAsia="Arial" w:hAnsi="Arial"/>
                <w:sz w:val="18"/>
                <w:szCs w:val="18"/>
              </w:rPr>
              <w:t xml:space="preserve">Family_History</w:t>
            </w:r>
          </w:p>
        </w:tc>
        <w:tc>
          <w:tcPr>
            <w:tcW w:w="1860" w:type="dxa"/>
          </w:tcPr>
          <w:p w14:paraId="2A0000A2">
            <w:pPr>
              <w:spacing w:after="0" w:before="0" w:line="240" w:lineRule="auto"/>
            </w:pPr>
            <w:r>
              <w:rPr>
                <w:rFonts w:ascii="Arial" w:cs="Arial" w:eastAsia="Arial" w:hAnsi="Arial"/>
                <w:sz w:val="18"/>
                <w:szCs w:val="18"/>
              </w:rPr>
              <w:t xml:space="preserve">32.4 %</w:t>
            </w:r>
          </w:p>
        </w:tc>
        <w:tc>
          <w:tcPr>
            <w:tcW w:w="1860" w:type="dxa"/>
          </w:tcPr>
          <w:p w14:paraId="2A0000A3">
            <w:pPr>
              <w:spacing w:after="0" w:before="0" w:line="240" w:lineRule="auto"/>
            </w:pPr>
            <w:r>
              <w:rPr>
                <w:rFonts w:ascii="Arial" w:cs="Arial" w:eastAsia="Arial" w:hAnsi="Arial"/>
                <w:sz w:val="18"/>
                <w:szCs w:val="18"/>
              </w:rPr>
              <w:t xml:space="preserve">19.4 %</w:t>
            </w:r>
          </w:p>
        </w:tc>
        <w:tc>
          <w:tcPr>
            <w:tcW w:w="1860" w:type="dxa"/>
          </w:tcPr>
          <w:p w14:paraId="2A0000A4">
            <w:pPr>
              <w:spacing w:after="0" w:before="0" w:line="240" w:lineRule="auto"/>
            </w:pPr>
            <w:r>
              <w:rPr>
                <w:rFonts w:ascii="Arial" w:cs="Arial" w:eastAsia="Arial" w:hAnsi="Arial"/>
                <w:sz w:val="18"/>
                <w:szCs w:val="18"/>
              </w:rPr>
              <w:t xml:space="preserve">1.67</w:t>
            </w:r>
          </w:p>
        </w:tc>
        <w:tc>
          <w:tcPr>
            <w:tcW w:w="1860" w:type="dxa"/>
          </w:tcPr>
          <w:p w14:paraId="2A0000A5">
            <w:pPr>
              <w:spacing w:after="0" w:before="0" w:line="240" w:lineRule="auto"/>
            </w:pPr>
            <w:r>
              <w:rPr>
                <w:rFonts w:ascii="Arial" w:cs="Arial" w:eastAsia="Arial" w:hAnsi="Arial"/>
                <w:sz w:val="18"/>
                <w:szCs w:val="18"/>
              </w:rPr>
              <w:t xml:space="preserve">0.141</w:t>
            </w:r>
          </w:p>
        </w:tc>
      </w:tr>
      <w:tr>
        <w:trPr>
          <w:cantSplit/>
        </w:trPr>
        <w:tc>
          <w:tcPr>
            <w:tcW w:w="1860" w:type="dxa"/>
          </w:tcPr>
          <w:p w14:paraId="2A0000A6">
            <w:pPr>
              <w:spacing w:after="0" w:before="0" w:line="240" w:lineRule="auto"/>
            </w:pPr>
            <w:r>
              <w:rPr>
                <w:rFonts w:ascii="Arial" w:cs="Arial" w:eastAsia="Arial" w:hAnsi="Arial"/>
                <w:sz w:val="18"/>
                <w:szCs w:val="18"/>
              </w:rPr>
              <w:t xml:space="preserve">Iodine_Deficiency</w:t>
            </w:r>
          </w:p>
        </w:tc>
        <w:tc>
          <w:tcPr>
            <w:tcW w:w="1860" w:type="dxa"/>
          </w:tcPr>
          <w:p w14:paraId="2A0000A7">
            <w:pPr>
              <w:spacing w:after="0" w:before="0" w:line="240" w:lineRule="auto"/>
            </w:pPr>
            <w:r>
              <w:rPr>
                <w:rFonts w:ascii="Arial" w:cs="Arial" w:eastAsia="Arial" w:hAnsi="Arial"/>
                <w:sz w:val="18"/>
                <w:szCs w:val="18"/>
              </w:rPr>
              <w:t xml:space="preserve">30.5 %</w:t>
            </w:r>
          </w:p>
        </w:tc>
        <w:tc>
          <w:tcPr>
            <w:tcW w:w="1860" w:type="dxa"/>
          </w:tcPr>
          <w:p w14:paraId="2A0000A8">
            <w:pPr>
              <w:spacing w:after="0" w:before="0" w:line="240" w:lineRule="auto"/>
            </w:pPr>
            <w:r>
              <w:rPr>
                <w:rFonts w:ascii="Arial" w:cs="Arial" w:eastAsia="Arial" w:hAnsi="Arial"/>
                <w:sz w:val="18"/>
                <w:szCs w:val="18"/>
              </w:rPr>
              <w:t xml:space="preserve">20.9 %</w:t>
            </w:r>
          </w:p>
        </w:tc>
        <w:tc>
          <w:tcPr>
            <w:tcW w:w="1860" w:type="dxa"/>
          </w:tcPr>
          <w:p w14:paraId="2A0000A9">
            <w:pPr>
              <w:spacing w:after="0" w:before="0" w:line="240" w:lineRule="auto"/>
            </w:pPr>
            <w:r>
              <w:rPr>
                <w:rFonts w:ascii="Arial" w:cs="Arial" w:eastAsia="Arial" w:hAnsi="Arial"/>
                <w:sz w:val="18"/>
                <w:szCs w:val="18"/>
              </w:rPr>
              <w:t xml:space="preserve">1.46</w:t>
            </w:r>
          </w:p>
        </w:tc>
        <w:tc>
          <w:tcPr>
            <w:tcW w:w="1860" w:type="dxa"/>
          </w:tcPr>
          <w:p w14:paraId="2A0000AA">
            <w:pPr>
              <w:spacing w:after="0" w:before="0" w:line="240" w:lineRule="auto"/>
            </w:pPr>
            <w:r>
              <w:rPr>
                <w:rFonts w:ascii="Arial" w:cs="Arial" w:eastAsia="Arial" w:hAnsi="Arial"/>
                <w:sz w:val="18"/>
                <w:szCs w:val="18"/>
              </w:rPr>
              <w:t xml:space="preserve">0.099</w:t>
            </w:r>
          </w:p>
        </w:tc>
      </w:tr>
      <w:tr>
        <w:trPr>
          <w:cantSplit/>
        </w:trPr>
        <w:tc>
          <w:tcPr>
            <w:tcW w:w="1860" w:type="dxa"/>
          </w:tcPr>
          <w:p w14:paraId="2A0000AB">
            <w:pPr>
              <w:spacing w:after="0" w:before="0" w:line="240" w:lineRule="auto"/>
            </w:pPr>
            <w:r>
              <w:rPr>
                <w:rFonts w:ascii="Arial" w:cs="Arial" w:eastAsia="Arial" w:hAnsi="Arial"/>
                <w:sz w:val="18"/>
                <w:szCs w:val="18"/>
              </w:rPr>
              <w:t xml:space="preserve">Radiation_Exposure</w:t>
            </w:r>
          </w:p>
        </w:tc>
        <w:tc>
          <w:tcPr>
            <w:tcW w:w="1860" w:type="dxa"/>
          </w:tcPr>
          <w:p w14:paraId="2A0000AC">
            <w:pPr>
              <w:spacing w:after="0" w:before="0" w:line="240" w:lineRule="auto"/>
            </w:pPr>
            <w:r>
              <w:rPr>
                <w:rFonts w:ascii="Arial" w:cs="Arial" w:eastAsia="Arial" w:hAnsi="Arial"/>
                <w:sz w:val="18"/>
                <w:szCs w:val="18"/>
              </w:rPr>
              <w:t xml:space="preserve">32.2 %</w:t>
            </w:r>
          </w:p>
        </w:tc>
        <w:tc>
          <w:tcPr>
            <w:tcW w:w="1860" w:type="dxa"/>
          </w:tcPr>
          <w:p w14:paraId="2A0000AD">
            <w:pPr>
              <w:spacing w:after="0" w:before="0" w:line="240" w:lineRule="auto"/>
            </w:pPr>
            <w:r>
              <w:rPr>
                <w:rFonts w:ascii="Arial" w:cs="Arial" w:eastAsia="Arial" w:hAnsi="Arial"/>
                <w:sz w:val="18"/>
                <w:szCs w:val="18"/>
              </w:rPr>
              <w:t xml:space="preserve">21.7 %</w:t>
            </w:r>
          </w:p>
        </w:tc>
        <w:tc>
          <w:tcPr>
            <w:tcW w:w="1860" w:type="dxa"/>
          </w:tcPr>
          <w:p w14:paraId="2A0000AE">
            <w:pPr>
              <w:spacing w:after="0" w:before="0" w:line="240" w:lineRule="auto"/>
            </w:pPr>
            <w:r>
              <w:rPr>
                <w:rFonts w:ascii="Arial" w:cs="Arial" w:eastAsia="Arial" w:hAnsi="Arial"/>
                <w:sz w:val="18"/>
                <w:szCs w:val="18"/>
              </w:rPr>
              <w:t xml:space="preserve">1.49</w:t>
            </w:r>
          </w:p>
        </w:tc>
        <w:tc>
          <w:tcPr>
            <w:tcW w:w="1860" w:type="dxa"/>
          </w:tcPr>
          <w:p w14:paraId="2A0000AF">
            <w:pPr>
              <w:spacing w:after="0" w:before="0" w:line="240" w:lineRule="auto"/>
            </w:pPr>
            <w:r>
              <w:rPr>
                <w:rFonts w:ascii="Arial" w:cs="Arial" w:eastAsia="Arial" w:hAnsi="Arial"/>
                <w:sz w:val="18"/>
                <w:szCs w:val="18"/>
              </w:rPr>
              <w:t xml:space="preserve">0.089</w:t>
            </w:r>
          </w:p>
        </w:tc>
      </w:tr>
      <w:tr>
        <w:trPr>
          <w:cantSplit/>
        </w:trPr>
        <w:tc>
          <w:tcPr>
            <w:tcW w:w="1860" w:type="dxa"/>
          </w:tcPr>
          <w:p w14:paraId="2A0000B0">
            <w:pPr>
              <w:spacing w:after="0" w:before="0" w:line="240" w:lineRule="auto"/>
            </w:pPr>
            <w:r>
              <w:rPr>
                <w:rFonts w:ascii="Arial" w:cs="Arial" w:eastAsia="Arial" w:hAnsi="Arial"/>
                <w:sz w:val="18"/>
                <w:szCs w:val="18"/>
              </w:rPr>
              <w:t xml:space="preserve">Diabetes</w:t>
            </w:r>
          </w:p>
        </w:tc>
        <w:tc>
          <w:tcPr>
            <w:tcW w:w="1860" w:type="dxa"/>
          </w:tcPr>
          <w:p w14:paraId="2A0000B1">
            <w:pPr>
              <w:spacing w:after="0" w:before="0" w:line="240" w:lineRule="auto"/>
            </w:pPr>
            <w:r>
              <w:rPr>
                <w:rFonts w:ascii="Arial" w:cs="Arial" w:eastAsia="Arial" w:hAnsi="Arial"/>
                <w:sz w:val="18"/>
                <w:szCs w:val="18"/>
              </w:rPr>
              <w:t xml:space="preserve">23.0 %</w:t>
            </w:r>
          </w:p>
        </w:tc>
        <w:tc>
          <w:tcPr>
            <w:tcW w:w="1860" w:type="dxa"/>
          </w:tcPr>
          <w:p w14:paraId="2A0000B2">
            <w:pPr>
              <w:spacing w:after="0" w:before="0" w:line="240" w:lineRule="auto"/>
            </w:pPr>
            <w:r>
              <w:rPr>
                <w:rFonts w:ascii="Arial" w:cs="Arial" w:eastAsia="Arial" w:hAnsi="Arial"/>
                <w:sz w:val="18"/>
                <w:szCs w:val="18"/>
              </w:rPr>
              <w:t xml:space="preserve">23.3 %</w:t>
            </w:r>
          </w:p>
        </w:tc>
        <w:tc>
          <w:tcPr>
            <w:tcW w:w="1860" w:type="dxa"/>
          </w:tcPr>
          <w:p w14:paraId="2A0000B3">
            <w:pPr>
              <w:spacing w:after="0" w:before="0" w:line="240" w:lineRule="auto"/>
            </w:pPr>
            <w:r>
              <w:rPr>
                <w:rFonts w:ascii="Arial" w:cs="Arial" w:eastAsia="Arial" w:hAnsi="Arial"/>
                <w:sz w:val="18"/>
                <w:szCs w:val="18"/>
              </w:rPr>
              <w:t xml:space="preserve">0.99</w:t>
            </w:r>
          </w:p>
        </w:tc>
        <w:tc>
          <w:tcPr>
            <w:tcW w:w="1860" w:type="dxa"/>
          </w:tcPr>
          <w:p w14:paraId="2A0000B4">
            <w:pPr>
              <w:spacing w:after="0" w:before="0" w:line="240" w:lineRule="auto"/>
            </w:pPr>
            <w:r>
              <w:rPr>
                <w:rFonts w:ascii="Arial" w:cs="Arial" w:eastAsia="Arial" w:hAnsi="Arial"/>
                <w:sz w:val="18"/>
                <w:szCs w:val="18"/>
              </w:rPr>
              <w:t xml:space="preserve">0.003</w:t>
            </w:r>
          </w:p>
        </w:tc>
      </w:tr>
      <w:tr>
        <w:trPr>
          <w:cantSplit/>
        </w:trPr>
        <w:tc>
          <w:tcPr>
            <w:tcW w:w="1860" w:type="dxa"/>
          </w:tcPr>
          <w:p w14:paraId="2A0000B5">
            <w:pPr>
              <w:spacing w:after="0" w:before="0" w:line="240" w:lineRule="auto"/>
            </w:pPr>
            <w:r>
              <w:rPr>
                <w:rFonts w:ascii="Arial" w:cs="Arial" w:eastAsia="Arial" w:hAnsi="Arial"/>
                <w:sz w:val="18"/>
                <w:szCs w:val="18"/>
              </w:rPr>
              <w:t xml:space="preserve">Gender (Female vs Male)</w:t>
            </w:r>
          </w:p>
        </w:tc>
        <w:tc>
          <w:tcPr>
            <w:tcW w:w="1860" w:type="dxa"/>
          </w:tcPr>
          <w:p w14:paraId="2A0000B6">
            <w:pPr>
              <w:spacing w:after="0" w:before="0" w:line="240" w:lineRule="auto"/>
            </w:pPr>
            <w:r>
              <w:rPr>
                <w:rFonts w:ascii="Arial" w:cs="Arial" w:eastAsia="Arial" w:hAnsi="Arial"/>
                <w:sz w:val="18"/>
                <w:szCs w:val="18"/>
              </w:rPr>
              <w:t xml:space="preserve">23.3 %</w:t>
            </w:r>
          </w:p>
        </w:tc>
        <w:tc>
          <w:tcPr>
            <w:tcW w:w="1860" w:type="dxa"/>
          </w:tcPr>
          <w:p w14:paraId="2A0000B7">
            <w:pPr>
              <w:spacing w:after="0" w:before="0" w:line="240" w:lineRule="auto"/>
            </w:pPr>
            <w:r>
              <w:rPr>
                <w:rFonts w:ascii="Arial" w:cs="Arial" w:eastAsia="Arial" w:hAnsi="Arial"/>
                <w:sz w:val="18"/>
                <w:szCs w:val="18"/>
              </w:rPr>
              <w:t xml:space="preserve">23.2 %</w:t>
            </w:r>
          </w:p>
        </w:tc>
        <w:tc>
          <w:tcPr>
            <w:tcW w:w="1860" w:type="dxa"/>
          </w:tcPr>
          <w:p w14:paraId="2A0000B8">
            <w:pPr>
              <w:spacing w:after="0" w:before="0" w:line="240" w:lineRule="auto"/>
            </w:pPr>
            <w:r>
              <w:rPr>
                <w:rFonts w:ascii="Arial" w:cs="Arial" w:eastAsia="Arial" w:hAnsi="Arial"/>
                <w:sz w:val="18"/>
                <w:szCs w:val="18"/>
              </w:rPr>
              <w:t xml:space="preserve">1.01</w:t>
            </w:r>
          </w:p>
        </w:tc>
        <w:tc>
          <w:tcPr>
            <w:tcW w:w="1860" w:type="dxa"/>
          </w:tcPr>
          <w:p w14:paraId="2A0000B9">
            <w:pPr>
              <w:spacing w:after="0" w:before="0" w:line="240" w:lineRule="auto"/>
            </w:pPr>
            <w:r>
              <w:rPr>
                <w:rFonts w:ascii="Arial" w:cs="Arial" w:eastAsia="Arial" w:hAnsi="Arial"/>
                <w:sz w:val="18"/>
                <w:szCs w:val="18"/>
              </w:rPr>
              <w:t xml:space="preserve">0.001</w:t>
            </w:r>
          </w:p>
        </w:tc>
      </w:tr>
      <w:tr>
        <w:trPr>
          <w:cantSplit/>
        </w:trPr>
        <w:tc>
          <w:tcPr>
            <w:tcW w:w="1860" w:type="dxa"/>
          </w:tcPr>
          <w:p w14:paraId="2A0000BA">
            <w:pPr>
              <w:spacing w:after="0" w:before="0" w:line="240" w:lineRule="auto"/>
            </w:pPr>
            <w:r>
              <w:rPr>
                <w:rFonts w:ascii="Arial" w:cs="Arial" w:eastAsia="Arial" w:hAnsi="Arial"/>
                <w:sz w:val="18"/>
                <w:szCs w:val="18"/>
              </w:rPr>
              <w:t xml:space="preserve">Obesity</w:t>
            </w:r>
          </w:p>
        </w:tc>
        <w:tc>
          <w:tcPr>
            <w:tcW w:w="1860" w:type="dxa"/>
          </w:tcPr>
          <w:p w14:paraId="2A0000BB">
            <w:pPr>
              <w:spacing w:after="0" w:before="0" w:line="240" w:lineRule="auto"/>
            </w:pPr>
            <w:r>
              <w:rPr>
                <w:rFonts w:ascii="Arial" w:cs="Arial" w:eastAsia="Arial" w:hAnsi="Arial"/>
                <w:sz w:val="18"/>
                <w:szCs w:val="18"/>
              </w:rPr>
              <w:t xml:space="preserve">23.2 %</w:t>
            </w:r>
          </w:p>
        </w:tc>
        <w:tc>
          <w:tcPr>
            <w:tcW w:w="1860" w:type="dxa"/>
          </w:tcPr>
          <w:p w14:paraId="2A0000BC">
            <w:pPr>
              <w:spacing w:after="0" w:before="0" w:line="240" w:lineRule="auto"/>
            </w:pPr>
            <w:r>
              <w:rPr>
                <w:rFonts w:ascii="Arial" w:cs="Arial" w:eastAsia="Arial" w:hAnsi="Arial"/>
                <w:sz w:val="18"/>
                <w:szCs w:val="18"/>
              </w:rPr>
              <w:t xml:space="preserve">23.3 %</w:t>
            </w:r>
          </w:p>
        </w:tc>
        <w:tc>
          <w:tcPr>
            <w:tcW w:w="1860" w:type="dxa"/>
          </w:tcPr>
          <w:p w14:paraId="2A0000BD">
            <w:pPr>
              <w:spacing w:after="0" w:before="0" w:line="240" w:lineRule="auto"/>
            </w:pPr>
            <w:r>
              <w:rPr>
                <w:rFonts w:ascii="Arial" w:cs="Arial" w:eastAsia="Arial" w:hAnsi="Arial"/>
                <w:sz w:val="18"/>
                <w:szCs w:val="18"/>
              </w:rPr>
              <w:t xml:space="preserve">1.00</w:t>
            </w:r>
          </w:p>
        </w:tc>
        <w:tc>
          <w:tcPr>
            <w:tcW w:w="1860" w:type="dxa"/>
          </w:tcPr>
          <w:p w14:paraId="2A0000BE">
            <w:pPr>
              <w:spacing w:after="0" w:before="0" w:line="240" w:lineRule="auto"/>
            </w:pPr>
            <w:r>
              <w:rPr>
                <w:rFonts w:ascii="Arial" w:cs="Arial" w:eastAsia="Arial" w:hAnsi="Arial"/>
                <w:sz w:val="18"/>
                <w:szCs w:val="18"/>
              </w:rPr>
              <w:t xml:space="preserve">0.001</w:t>
            </w:r>
          </w:p>
        </w:tc>
      </w:tr>
      <w:tr>
        <w:trPr>
          <w:cantSplit/>
        </w:trPr>
        <w:tc>
          <w:tcPr>
            <w:tcW w:w="1860" w:type="dxa"/>
          </w:tcPr>
          <w:p w14:paraId="2A0000BF">
            <w:pPr>
              <w:spacing w:after="0" w:before="0" w:line="240" w:lineRule="auto"/>
            </w:pPr>
            <w:r>
              <w:rPr>
                <w:rFonts w:ascii="Arial" w:cs="Arial" w:eastAsia="Arial" w:hAnsi="Arial"/>
                <w:sz w:val="18"/>
                <w:szCs w:val="18"/>
              </w:rPr>
              <w:t xml:space="preserve">Smoking</w:t>
            </w:r>
          </w:p>
        </w:tc>
        <w:tc>
          <w:tcPr>
            <w:tcW w:w="1860" w:type="dxa"/>
          </w:tcPr>
          <w:p w14:paraId="2A0000C0">
            <w:pPr>
              <w:spacing w:after="0" w:before="0" w:line="240" w:lineRule="auto"/>
            </w:pPr>
            <w:r>
              <w:rPr>
                <w:rFonts w:ascii="Arial" w:cs="Arial" w:eastAsia="Arial" w:hAnsi="Arial"/>
                <w:sz w:val="18"/>
                <w:szCs w:val="18"/>
              </w:rPr>
              <w:t xml:space="preserve">23.3 %</w:t>
            </w:r>
          </w:p>
        </w:tc>
        <w:tc>
          <w:tcPr>
            <w:tcW w:w="1860" w:type="dxa"/>
          </w:tcPr>
          <w:p w14:paraId="2A0000C1">
            <w:pPr>
              <w:spacing w:after="0" w:before="0" w:line="240" w:lineRule="auto"/>
            </w:pPr>
            <w:r>
              <w:rPr>
                <w:rFonts w:ascii="Arial" w:cs="Arial" w:eastAsia="Arial" w:hAnsi="Arial"/>
                <w:sz w:val="18"/>
                <w:szCs w:val="18"/>
              </w:rPr>
              <w:t xml:space="preserve">23.3 %</w:t>
            </w:r>
          </w:p>
        </w:tc>
        <w:tc>
          <w:tcPr>
            <w:tcW w:w="1860" w:type="dxa"/>
          </w:tcPr>
          <w:p w14:paraId="2A0000C2">
            <w:pPr>
              <w:spacing w:after="0" w:before="0" w:line="240" w:lineRule="auto"/>
            </w:pPr>
            <w:r>
              <w:rPr>
                <w:rFonts w:ascii="Arial" w:cs="Arial" w:eastAsia="Arial" w:hAnsi="Arial"/>
                <w:sz w:val="18"/>
                <w:szCs w:val="18"/>
              </w:rPr>
              <w:t xml:space="preserve">1.00</w:t>
            </w:r>
          </w:p>
        </w:tc>
        <w:tc>
          <w:tcPr>
            <w:tcW w:w="1860" w:type="dxa"/>
          </w:tcPr>
          <w:p w14:paraId="2A0000C3">
            <w:pPr>
              <w:spacing w:after="0" w:before="0" w:line="240" w:lineRule="auto"/>
            </w:pPr>
            <w:r>
              <w:rPr>
                <w:rFonts w:ascii="Arial" w:cs="Arial" w:eastAsia="Arial" w:hAnsi="Arial"/>
                <w:sz w:val="18"/>
                <w:szCs w:val="18"/>
              </w:rPr>
              <w:t xml:space="preserve">0.001</w:t>
            </w:r>
          </w:p>
        </w:tc>
      </w:tr>
    </w:tbl>
    <w:p w14:paraId="2A0000C4">
      <w:pPr>
        <w:spacing w:after="60" w:before="0" w:line="276" w:lineRule="auto"/>
        <w:jc w:val="both"/>
      </w:pPr>
    </w:p>
    <w:p w14:paraId="2A0000C5">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solo el antecedente familiar, la exposición a radiación y la deficiencia de yodo elevan la tasa de malignidad (riesgo relativo entre 1.46 y 1.67). Tabaquismo, obesidad, diabetes y sexo presentan tasas iguales a la global.</w:t>
      </w:r>
    </w:p>
    <w:p w14:paraId="2A0000C6">
      <w:pPr>
        <w:keepNext/>
        <w:spacing w:before="120" w:after="0"/>
        <w:jc w:val="center"/>
      </w:pPr>
      <w:r>
        <w:drawing>
          <wp:inline distT="0" distB="0" distL="0" distR="0">
            <wp:extent cx="3840480" cy="3423332"/>
            <wp:docPr id="104" name="05_correlacion"/>
            <a:graphic xmlns:a="http://schemas.openxmlformats.org/drawingml/2006/main">
              <a:graphicData uri="http://schemas.openxmlformats.org/drawingml/2006/picture">
                <pic:pic xmlns:pic="http://schemas.openxmlformats.org/drawingml/2006/picture">
                  <pic:nvPicPr>
                    <pic:cNvPr id="104" name="05_correlacion.png"/>
                    <pic:cNvPicPr/>
                  </pic:nvPicPr>
                  <pic:blipFill>
                    <a:blip r:embed="rIdFig104"/>
                    <a:stretch>
                      <a:fillRect/>
                    </a:stretch>
                  </pic:blipFill>
                  <pic:spPr>
                    <a:xfrm>
                      <a:off x="0" y="0"/>
                      <a:ext cx="3840480" cy="3423332"/>
                    </a:xfrm>
                    <a:prstGeom prst="rect">
                      <a:avLst/>
                    </a:prstGeom>
                  </pic:spPr>
                </pic:pic>
              </a:graphicData>
            </a:graphic>
          </wp:inline>
        </w:drawing>
      </w:r>
    </w:p>
    <w:p w14:paraId="2A0000C7">
      <w:pPr>
        <w:spacing w:after="160" w:before="40" w:line="276" w:lineRule="auto"/>
        <w:jc w:val="center"/>
      </w:pPr>
      <w:r>
        <w:rPr>
          <w:rFonts w:ascii="Arial" w:cs="Arial" w:eastAsia="Arial" w:hAnsi="Arial"/>
          <w:i w:val="1"/>
          <w:sz w:val="18"/>
          <w:szCs w:val="18"/>
        </w:rPr>
        <w:t xml:space="preserve">Figura 4. Matriz de correlación de Spearman entre variables numéricas y el diagnóstico.</w:t>
      </w:r>
    </w:p>
    <w:p w14:paraId="2A0000C8">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los tres factores con efecto son factores de riesgo reconocidos en la literatura. Sin embargo, el tamaño del efecto es pequeño (V de Cramér ≤ 0.14). Las correlaciones entre variables numéricas son nulas (incluida TSH–T4, que fisiológicamente deberían relacionarse), por lo que no existe multicolinealidad pero sí una nueva señal de generación independiente de las variables.</w:t>
      </w:r>
    </w:p>
    <w:p w14:paraId="2A0000C9">
      <w:pPr>
        <w:keepNext/>
        <w:spacing w:after="160" w:before="240" w:lineRule="auto"/>
      </w:pPr>
      <w:r>
        <w:rPr>
          <w:b w:val="1"/>
          <w:bCs w:val="1"/>
          <w:sz w:val="32"/>
          <w:szCs w:val="32"/>
        </w:rPr>
        <w:t xml:space="preserve">3.4 Diferencias entre grupos</w:t>
      </w:r>
    </w:p>
    <w:p w14:paraId="2A0000CA">
      <w:pPr>
        <w:keepNext/>
        <w:spacing w:before="120" w:after="0"/>
        <w:jc w:val="center"/>
      </w:pPr>
      <w:r>
        <w:drawing>
          <wp:inline distT="0" distB="0" distL="0" distR="0">
            <wp:extent cx="5852160" cy="1934598"/>
            <wp:docPr id="105" name="04_tasa_por_pais_etnia"/>
            <a:graphic xmlns:a="http://schemas.openxmlformats.org/drawingml/2006/main">
              <a:graphicData uri="http://schemas.openxmlformats.org/drawingml/2006/picture">
                <pic:pic xmlns:pic="http://schemas.openxmlformats.org/drawingml/2006/picture">
                  <pic:nvPicPr>
                    <pic:cNvPr id="105" name="04_tasa_por_pais_etnia.png"/>
                    <pic:cNvPicPr/>
                  </pic:nvPicPr>
                  <pic:blipFill>
                    <a:blip r:embed="rIdFig105"/>
                    <a:stretch>
                      <a:fillRect/>
                    </a:stretch>
                  </pic:blipFill>
                  <pic:spPr>
                    <a:xfrm>
                      <a:off x="0" y="0"/>
                      <a:ext cx="5852160" cy="1934598"/>
                    </a:xfrm>
                    <a:prstGeom prst="rect">
                      <a:avLst/>
                    </a:prstGeom>
                  </pic:spPr>
                </pic:pic>
              </a:graphicData>
            </a:graphic>
          </wp:inline>
        </w:drawing>
      </w:r>
    </w:p>
    <w:p w14:paraId="2A0000CB">
      <w:pPr>
        <w:spacing w:after="160" w:before="40" w:line="276" w:lineRule="auto"/>
        <w:jc w:val="center"/>
      </w:pPr>
      <w:r>
        <w:rPr>
          <w:rFonts w:ascii="Arial" w:cs="Arial" w:eastAsia="Arial" w:hAnsi="Arial"/>
          <w:i w:val="1"/>
          <w:sz w:val="18"/>
          <w:szCs w:val="18"/>
        </w:rPr>
        <w:t xml:space="preserve">Figura 5. Porcentaje de diagnósticos malignos por país y por etnia.</w:t>
      </w:r>
    </w:p>
    <w:p w14:paraId="2A0000CC">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India (≈ 33 %) y la etnia Asian (≈ 33.5 %) presentan una proporción de malignos claramente superior; African está levemente por encima (≈ 25.5 %) y el resto de grupos se ubica entre 18 % y 21 %.</w:t>
      </w:r>
    </w:p>
    <w:p w14:paraId="2A0000CD">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es la diferencia entre grupos más marcada del dataset. No obstante, debe leerse con cautela: dado el origen sintético, puede reflejar una regla del generador de datos y no un efecto geográfico o étnico real.</w:t>
      </w:r>
    </w:p>
    <w:p w14:paraId="2A0000CE">
      <w:pPr>
        <w:keepNext/>
        <w:spacing w:after="160" w:before="240" w:lineRule="auto"/>
      </w:pPr>
      <w:r>
        <w:rPr>
          <w:b w:val="1"/>
          <w:bCs w:val="1"/>
          <w:sz w:val="32"/>
          <w:szCs w:val="32"/>
        </w:rPr>
        <w:t xml:space="preserve">3.5 Posibles patrones y anomalías</w:t>
      </w:r>
    </w:p>
    <w:p w14:paraId="2A0000CF">
      <w:pPr>
        <w:keepNext/>
        <w:spacing w:before="120" w:after="0"/>
        <w:jc w:val="center"/>
      </w:pPr>
      <w:r>
        <w:drawing>
          <wp:inline distT="0" distB="0" distL="0" distR="0">
            <wp:extent cx="4206240" cy="2499650"/>
            <wp:docPr id="106" name="06_riesgo_vs_diagnostico"/>
            <a:graphic xmlns:a="http://schemas.openxmlformats.org/drawingml/2006/main">
              <a:graphicData uri="http://schemas.openxmlformats.org/drawingml/2006/picture">
                <pic:pic xmlns:pic="http://schemas.openxmlformats.org/drawingml/2006/picture">
                  <pic:nvPicPr>
                    <pic:cNvPr id="106" name="06_riesgo_vs_diagnostico.png"/>
                    <pic:cNvPicPr/>
                  </pic:nvPicPr>
                  <pic:blipFill>
                    <a:blip r:embed="rIdFig106"/>
                    <a:stretch>
                      <a:fillRect/>
                    </a:stretch>
                  </pic:blipFill>
                  <pic:spPr>
                    <a:xfrm>
                      <a:off x="0" y="0"/>
                      <a:ext cx="4206240" cy="2499650"/>
                    </a:xfrm>
                    <a:prstGeom prst="rect">
                      <a:avLst/>
                    </a:prstGeom>
                  </pic:spPr>
                </pic:pic>
              </a:graphicData>
            </a:graphic>
          </wp:inline>
        </w:drawing>
      </w:r>
    </w:p>
    <w:p w14:paraId="2A0000D0">
      <w:pPr>
        <w:spacing w:after="160" w:before="40" w:line="276" w:lineRule="auto"/>
        <w:jc w:val="center"/>
      </w:pPr>
      <w:r>
        <w:rPr>
          <w:rFonts w:ascii="Arial" w:cs="Arial" w:eastAsia="Arial" w:hAnsi="Arial"/>
          <w:i w:val="1"/>
          <w:sz w:val="18"/>
          <w:szCs w:val="18"/>
        </w:rPr>
        <w:t xml:space="preserve">Figura 6. Diagnóstico según el nivel de riesgo precalculado (Thyroid_Cancer_Risk).</w:t>
      </w:r>
    </w:p>
    <w:p w14:paraId="2A0000D1">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los pacientes con riesgo High tienen 70 % de diagnósticos malignos, mientras que Low y Medium tienen exactamente la misma tasa (≈ 15 %) y el mismo perfil de factores. Los pacientes High concentran los factores con efecto: 63 % tiene antecedente familiar (vs 24 %), 44 % es de India (vs 16 %) y 56 % es de etnia asiática (vs 20 %).</w:t>
      </w:r>
    </w:p>
    <w:p w14:paraId="2A0000D2">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Thyroid_Cancer_Risk se comporta como un puntaje derivado de los mismos factores y muy cercano al resultado. Como se desconoce cómo y cuándo se calculó, su uso como predictor podría introducir fuga de información; por ello se excluye del modelo y se utiliza como regla baseline del dominio («High ⇒ Malignant»). Además, la categoría Medium no aporta información distinta de Low.</w:t>
      </w:r>
    </w:p>
    <w:p w14:paraId="2A0000D3">
      <w:pPr>
        <w:keepNext/>
        <w:spacing w:before="120" w:after="0"/>
        <w:jc w:val="center"/>
      </w:pPr>
      <w:r>
        <w:drawing>
          <wp:inline distT="0" distB="0" distL="0" distR="0">
            <wp:extent cx="4389120" cy="2540124"/>
            <wp:docPr id="107" name="07_pais_vs_etnia"/>
            <a:graphic xmlns:a="http://schemas.openxmlformats.org/drawingml/2006/main">
              <a:graphicData uri="http://schemas.openxmlformats.org/drawingml/2006/picture">
                <pic:pic xmlns:pic="http://schemas.openxmlformats.org/drawingml/2006/picture">
                  <pic:nvPicPr>
                    <pic:cNvPr id="107" name="07_pais_vs_etnia.png"/>
                    <pic:cNvPicPr/>
                  </pic:nvPicPr>
                  <pic:blipFill>
                    <a:blip r:embed="rIdFig107"/>
                    <a:stretch>
                      <a:fillRect/>
                    </a:stretch>
                  </pic:blipFill>
                  <pic:spPr>
                    <a:xfrm>
                      <a:off x="0" y="0"/>
                      <a:ext cx="4389120" cy="2540124"/>
                    </a:xfrm>
                    <a:prstGeom prst="rect">
                      <a:avLst/>
                    </a:prstGeom>
                  </pic:spPr>
                </pic:pic>
              </a:graphicData>
            </a:graphic>
          </wp:inline>
        </w:drawing>
      </w:r>
    </w:p>
    <w:p w14:paraId="2A0000D4">
      <w:pPr>
        <w:spacing w:after="160" w:before="40" w:line="276" w:lineRule="auto"/>
        <w:jc w:val="center"/>
      </w:pPr>
      <w:r>
        <w:rPr>
          <w:rFonts w:ascii="Arial" w:cs="Arial" w:eastAsia="Arial" w:hAnsi="Arial"/>
          <w:i w:val="1"/>
          <w:sz w:val="18"/>
          <w:szCs w:val="18"/>
        </w:rPr>
        <w:t xml:space="preserve">Figura 7. Composición étnica dentro de cada país (porcentaje por fila).</w:t>
      </w:r>
    </w:p>
    <w:p w14:paraId="2A0000D5">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la distribución étnica es la misma en todos los países (≈ 30 % Caucasian, 25 % Asian, 20 % African, 15 % Hispanic, 10 % Middle Eastern), incluso en Nigeria o Japón.</w:t>
      </w:r>
    </w:p>
    <w:p w14:paraId="2A0000D6">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este patrón es imposible en una población real y confirma que el dataset es sintético. Las conclusiones del proyecto serán válidas sobre este conjunto de datos y no deben generalizarse a la práctica clínica.</w:t>
      </w:r>
    </w:p>
    <w:p w14:paraId="2A0000D7">
      <w:pPr>
        <w:keepNext/>
        <w:spacing w:after="160" w:before="240" w:lineRule="auto"/>
      </w:pPr>
      <w:r>
        <w:rPr>
          <w:b w:val="1"/>
          <w:bCs w:val="1"/>
          <w:sz w:val="32"/>
          <w:szCs w:val="32"/>
        </w:rPr>
        <w:t xml:space="preserve">3.6 Problemas de calidad que condicionen decisiones posteriores</w:t>
      </w:r>
    </w:p>
    <w:p w14:paraId="2A0000D8">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Thyroid_Cancer_Risk</w:t>
      </w:r>
      <w:r>
        <w:rPr>
          <w:rFonts w:ascii="Arial" w:cs="Arial" w:eastAsia="Arial" w:hAnsi="Arial"/>
          <w:sz w:val="24"/>
          <w:szCs w:val="24"/>
        </w:rPr>
        <w:t xml:space="preserve"> es redundante y potencialmente con fuga: se excluye de los predictores.</w:t>
      </w:r>
    </w:p>
    <w:p w14:paraId="2A0000D9">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Señal concentrada en pocas variables</w:t>
      </w:r>
      <w:r>
        <w:rPr>
          <w:rFonts w:ascii="Arial" w:cs="Arial" w:eastAsia="Arial" w:hAnsi="Arial"/>
          <w:sz w:val="24"/>
          <w:szCs w:val="24"/>
        </w:rPr>
        <w:t xml:space="preserve"> (antecedente familiar, radiación, yodo, India / Asian): se espera un techo de desempeño moderado, independientemente del algoritmo.</w:t>
      </w:r>
    </w:p>
    <w:p w14:paraId="2A0000DA">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Desbalance de clases</w:t>
      </w:r>
      <w:r>
        <w:rPr>
          <w:rFonts w:ascii="Arial" w:cs="Arial" w:eastAsia="Arial" w:hAnsi="Arial"/>
          <w:sz w:val="24"/>
          <w:szCs w:val="24"/>
        </w:rPr>
        <w:t xml:space="preserve"> (23.3 % malignos): obliga a estratificar y a usar métricas centradas en la clase positiva.</w:t>
      </w:r>
    </w:p>
    <w:p w14:paraId="2A0000DB">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Valores hormonales poco plausibles</w:t>
      </w:r>
      <w:r>
        <w:rPr>
          <w:rFonts w:ascii="Arial" w:cs="Arial" w:eastAsia="Arial" w:hAnsi="Arial"/>
          <w:sz w:val="24"/>
          <w:szCs w:val="24"/>
        </w:rPr>
        <w:t xml:space="preserve"> en combinación (TSH alta con T4 alta): se documentan como riesgo, pero no se corrigen por falta de criterio clínico y de información sobre unidades.</w:t>
      </w:r>
    </w:p>
    <w:p w14:paraId="2A0000DC">
      <w:pPr>
        <w:spacing w:after="240" w:before="240" w:lineRule="auto"/>
      </w:pPr>
      <w:r>
        <w:br w:type="page"/>
      </w:r>
      <w:r>
        <w:rPr>
          <w:b w:val="1"/>
          <w:bCs w:val="1"/>
          <w:sz w:val="36"/>
          <w:szCs w:val="36"/>
        </w:rPr>
        <w:t xml:space="preserve">4. Calidad y Preparación de Datos</w:t>
      </w:r>
    </w:p>
    <w:p w14:paraId="2A0000DD">
      <w:pPr>
        <w:spacing w:after="120" w:before="120" w:line="276" w:lineRule="auto"/>
        <w:jc w:val="both"/>
      </w:pPr>
      <w:r>
        <w:rPr>
          <w:rFonts w:ascii="Arial" w:cs="Arial" w:eastAsia="Arial" w:hAnsi="Arial"/>
          <w:sz w:val="24"/>
          <w:szCs w:val="24"/>
        </w:rPr>
        <w:t xml:space="preserve">El análisis de calidad se implementó en src/data.py (funciones quality_report y clean) y en la sección 4 del notebook. Para cada aspecto se presenta el hallazgo y la decisión adoptada con su justificación.</w:t>
      </w:r>
    </w:p>
    <w:p w14:paraId="2A0000DE">
      <w:pPr>
        <w:keepNext/>
        <w:spacing w:after="160" w:before="240" w:lineRule="auto"/>
      </w:pPr>
      <w:r>
        <w:rPr>
          <w:b w:val="1"/>
          <w:bCs w:val="1"/>
          <w:sz w:val="32"/>
          <w:szCs w:val="32"/>
        </w:rPr>
        <w:t xml:space="preserve">4.1 Valores faltantes</w:t>
      </w:r>
    </w:p>
    <w:p w14:paraId="2A0000DF">
      <w:pPr>
        <w:spacing w:after="120" w:before="120" w:line="276" w:lineRule="auto"/>
        <w:jc w:val="both"/>
      </w:pPr>
      <w:r>
        <w:rPr>
          <w:rFonts w:ascii="Arial" w:cs="Arial" w:eastAsia="Arial" w:hAnsi="Arial"/>
          <w:sz w:val="24"/>
          <w:szCs w:val="24"/>
        </w:rPr>
        <w:t xml:space="preserve">No existen valores faltantes en ninguna de las 17 columnas (212 691 valores no nulos por columna). </w:t>
      </w:r>
      <w:r>
        <w:rPr>
          <w:rFonts w:ascii="Arial" w:cs="Arial" w:eastAsia="Arial" w:hAnsi="Arial"/>
          <w:b w:val="1"/>
          <w:bCs w:val="1"/>
          <w:sz w:val="24"/>
          <w:szCs w:val="24"/>
        </w:rPr>
        <w:t xml:space="preserve">Decisión:</w:t>
      </w:r>
      <w:r>
        <w:rPr>
          <w:rFonts w:ascii="Arial" w:cs="Arial" w:eastAsia="Arial" w:hAnsi="Arial"/>
          <w:sz w:val="24"/>
          <w:szCs w:val="24"/>
        </w:rPr>
        <w:t xml:space="preserve"> no se imputa ni se elimina ningún registro. Aun así, el Pipeline incluye SimpleImputer (mediana para numéricas y moda para categóricas) para que el flujo sea robusto si en el uso real llegan datos incompletos; al estar dentro del Pipeline, sus parámetros se aprenden solo con train.</w:t>
      </w:r>
    </w:p>
    <w:p w14:paraId="2A0000E0">
      <w:pPr>
        <w:keepNext/>
        <w:spacing w:after="160" w:before="240" w:lineRule="auto"/>
      </w:pPr>
      <w:r>
        <w:rPr>
          <w:b w:val="1"/>
          <w:bCs w:val="1"/>
          <w:sz w:val="32"/>
          <w:szCs w:val="32"/>
        </w:rPr>
        <w:t xml:space="preserve">4.2 Duplicados</w:t>
      </w:r>
    </w:p>
    <w:p w14:paraId="2A0000E1">
      <w:pPr>
        <w:spacing w:after="120" w:before="120" w:line="276" w:lineRule="auto"/>
        <w:jc w:val="both"/>
      </w:pPr>
      <w:r>
        <w:rPr>
          <w:rFonts w:ascii="Arial" w:cs="Arial" w:eastAsia="Arial" w:hAnsi="Arial"/>
          <w:sz w:val="24"/>
          <w:szCs w:val="24"/>
        </w:rPr>
        <w:t xml:space="preserve">Se verificaron filas duplicadas sin considerar el identificador (0 casos) y valores repetidos de Patient_ID (0 casos). </w:t>
      </w:r>
      <w:r>
        <w:rPr>
          <w:rFonts w:ascii="Arial" w:cs="Arial" w:eastAsia="Arial" w:hAnsi="Arial"/>
          <w:b w:val="1"/>
          <w:bCs w:val="1"/>
          <w:sz w:val="24"/>
          <w:szCs w:val="24"/>
        </w:rPr>
        <w:t xml:space="preserve">Decisión:</w:t>
      </w:r>
      <w:r>
        <w:rPr>
          <w:rFonts w:ascii="Arial" w:cs="Arial" w:eastAsia="Arial" w:hAnsi="Arial"/>
          <w:sz w:val="24"/>
          <w:szCs w:val="24"/>
        </w:rPr>
        <w:t xml:space="preserve"> no se elimina ningún registro; cada fila corresponde a un paciente distinto, lo que además permite una separación aleatoria sin riesgo de que un mismo paciente aparezca en train y en test.</w:t>
      </w:r>
    </w:p>
    <w:p w14:paraId="2A0000E2">
      <w:pPr>
        <w:keepNext/>
        <w:spacing w:after="160" w:before="240" w:lineRule="auto"/>
      </w:pPr>
      <w:r>
        <w:rPr>
          <w:b w:val="1"/>
          <w:bCs w:val="1"/>
          <w:sz w:val="32"/>
          <w:szCs w:val="32"/>
        </w:rPr>
        <w:t xml:space="preserve">4.3 Tipos de datos</w:t>
      </w:r>
    </w:p>
    <w:p w14:paraId="2A0000E3">
      <w:pPr>
        <w:spacing w:after="120" w:before="120" w:line="276" w:lineRule="auto"/>
        <w:jc w:val="both"/>
      </w:pPr>
      <w:r>
        <w:rPr>
          <w:rFonts w:ascii="Arial" w:cs="Arial" w:eastAsia="Arial" w:hAnsi="Arial"/>
          <w:sz w:val="24"/>
          <w:szCs w:val="24"/>
        </w:rPr>
        <w:t xml:space="preserve">Age es entera; TSH_Level, T3_Level, T4_Level y Nodule_Size son decimales; las 11 restantes son texto (9 predictoras categóricas, Thyroid_Cancer_Risk y Diagnosis). Todos los tipos son coherentes con su contenido. </w:t>
      </w:r>
      <w:r>
        <w:rPr>
          <w:rFonts w:ascii="Arial" w:cs="Arial" w:eastAsia="Arial" w:hAnsi="Arial"/>
          <w:b w:val="1"/>
          <w:bCs w:val="1"/>
          <w:sz w:val="24"/>
          <w:szCs w:val="24"/>
        </w:rPr>
        <w:t xml:space="preserve">Decisión:</w:t>
      </w:r>
      <w:r>
        <w:rPr>
          <w:rFonts w:ascii="Arial" w:cs="Arial" w:eastAsia="Arial" w:hAnsi="Arial"/>
          <w:sz w:val="24"/>
          <w:szCs w:val="24"/>
        </w:rPr>
        <w:t xml:space="preserve"> las numéricas se mantienen como tales y las categóricas se codifican con One-Hot dentro del Pipeline; Diagnosis se convierte a 0/1 (Malignant = 1).</w:t>
      </w:r>
    </w:p>
    <w:p w14:paraId="2A0000E4">
      <w:pPr>
        <w:keepNext/>
        <w:spacing w:after="160" w:before="240" w:lineRule="auto"/>
      </w:pPr>
      <w:r>
        <w:rPr>
          <w:b w:val="1"/>
          <w:bCs w:val="1"/>
          <w:sz w:val="32"/>
          <w:szCs w:val="32"/>
        </w:rPr>
        <w:t xml:space="preserve">4.4 Categorías inconsistentes</w:t>
      </w:r>
    </w:p>
    <w:p w14:paraId="2A0000E5">
      <w:pPr>
        <w:spacing w:after="120" w:before="120" w:line="276" w:lineRule="auto"/>
        <w:jc w:val="both"/>
      </w:pPr>
      <w:r>
        <w:rPr>
          <w:rFonts w:ascii="Arial" w:cs="Arial" w:eastAsia="Arial" w:hAnsi="Arial"/>
          <w:sz w:val="24"/>
          <w:szCs w:val="24"/>
        </w:rPr>
        <w:t xml:space="preserve">Se revisaron los valores únicos de cada variable categórica y se comprobó que no existen variantes por mayúsculas, espacios o errores de escritura (al normalizar el texto, ninguna categoría colapsa con otra). </w:t>
      </w:r>
      <w:r>
        <w:rPr>
          <w:rFonts w:ascii="Arial" w:cs="Arial" w:eastAsia="Arial" w:hAnsi="Arial"/>
          <w:b w:val="1"/>
          <w:bCs w:val="1"/>
          <w:sz w:val="24"/>
          <w:szCs w:val="24"/>
        </w:rPr>
        <w:t xml:space="preserve">Decisión:</w:t>
      </w:r>
      <w:r>
        <w:rPr>
          <w:rFonts w:ascii="Arial" w:cs="Arial" w:eastAsia="Arial" w:hAnsi="Arial"/>
          <w:sz w:val="24"/>
          <w:szCs w:val="24"/>
        </w:rPr>
        <w:t xml:space="preserve"> únicamente se eliminan espacios sobrantes como medida preventiva; no se cambian mayúsculas para no alterar valores como UK o USA.</w:t>
      </w:r>
    </w:p>
    <w:p w14:paraId="2A0000E6">
      <w:pPr>
        <w:keepNext/>
        <w:spacing w:after="160" w:before="240" w:lineRule="auto"/>
      </w:pPr>
      <w:r>
        <w:rPr>
          <w:b w:val="1"/>
          <w:bCs w:val="1"/>
          <w:sz w:val="32"/>
          <w:szCs w:val="32"/>
        </w:rPr>
        <w:t xml:space="preserve">4.5 Outliers o valores extremos</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1860"/>
        <w:gridCol w:w="1860"/>
        <w:gridCol w:w="1860"/>
        <w:gridCol w:w="1860"/>
        <w:gridCol w:w="1860"/>
      </w:tblGrid>
      <w:tr>
        <w:trPr>
          <w:tblHeader/>
          <w:cantSplit/>
        </w:trPr>
        <w:tc>
          <w:tcPr>
            <w:tcW w:w="1860" w:type="dxa"/>
            <w:shd w:val="clear" w:color="auto" w:fill="1F3864"/>
          </w:tcPr>
          <w:p w14:paraId="2A0000E7">
            <w:pPr>
              <w:spacing w:after="0" w:before="0" w:line="240" w:lineRule="auto"/>
            </w:pPr>
            <w:r>
              <w:rPr>
                <w:rFonts w:ascii="Arial" w:cs="Arial" w:eastAsia="Arial" w:hAnsi="Arial"/>
                <w:b w:val="1"/>
                <w:bCs w:val="1"/>
                <w:color w:val="FFFFFF"/>
                <w:sz w:val="18"/>
                <w:szCs w:val="18"/>
              </w:rPr>
              <w:t xml:space="preserve">Variable</w:t>
            </w:r>
          </w:p>
        </w:tc>
        <w:tc>
          <w:tcPr>
            <w:tcW w:w="1860" w:type="dxa"/>
            <w:shd w:val="clear" w:color="auto" w:fill="1F3864"/>
          </w:tcPr>
          <w:p w14:paraId="2A0000E8">
            <w:pPr>
              <w:spacing w:after="0" w:before="0" w:line="240" w:lineRule="auto"/>
            </w:pPr>
            <w:r>
              <w:rPr>
                <w:rFonts w:ascii="Arial" w:cs="Arial" w:eastAsia="Arial" w:hAnsi="Arial"/>
                <w:b w:val="1"/>
                <w:bCs w:val="1"/>
                <w:color w:val="FFFFFF"/>
                <w:sz w:val="18"/>
                <w:szCs w:val="18"/>
              </w:rPr>
              <w:t xml:space="preserve">Mínimo</w:t>
            </w:r>
          </w:p>
        </w:tc>
        <w:tc>
          <w:tcPr>
            <w:tcW w:w="1860" w:type="dxa"/>
            <w:shd w:val="clear" w:color="auto" w:fill="1F3864"/>
          </w:tcPr>
          <w:p w14:paraId="2A0000E9">
            <w:pPr>
              <w:spacing w:after="0" w:before="0" w:line="240" w:lineRule="auto"/>
            </w:pPr>
            <w:r>
              <w:rPr>
                <w:rFonts w:ascii="Arial" w:cs="Arial" w:eastAsia="Arial" w:hAnsi="Arial"/>
                <w:b w:val="1"/>
                <w:bCs w:val="1"/>
                <w:color w:val="FFFFFF"/>
                <w:sz w:val="18"/>
                <w:szCs w:val="18"/>
              </w:rPr>
              <w:t xml:space="preserve">Máximo</w:t>
            </w:r>
          </w:p>
        </w:tc>
        <w:tc>
          <w:tcPr>
            <w:tcW w:w="1860" w:type="dxa"/>
            <w:shd w:val="clear" w:color="auto" w:fill="1F3864"/>
          </w:tcPr>
          <w:p w14:paraId="2A0000EA">
            <w:pPr>
              <w:spacing w:after="0" w:before="0" w:line="240" w:lineRule="auto"/>
            </w:pPr>
            <w:r>
              <w:rPr>
                <w:rFonts w:ascii="Arial" w:cs="Arial" w:eastAsia="Arial" w:hAnsi="Arial"/>
                <w:b w:val="1"/>
                <w:bCs w:val="1"/>
                <w:color w:val="FFFFFF"/>
                <w:sz w:val="18"/>
                <w:szCs w:val="18"/>
              </w:rPr>
              <w:t xml:space="preserve">Outliers (IQR)</w:t>
            </w:r>
          </w:p>
        </w:tc>
        <w:tc>
          <w:tcPr>
            <w:tcW w:w="1860" w:type="dxa"/>
            <w:shd w:val="clear" w:color="auto" w:fill="1F3864"/>
          </w:tcPr>
          <w:p w14:paraId="2A0000EB">
            <w:pPr>
              <w:spacing w:after="0" w:before="0" w:line="240" w:lineRule="auto"/>
            </w:pPr>
            <w:r>
              <w:rPr>
                <w:rFonts w:ascii="Arial" w:cs="Arial" w:eastAsia="Arial" w:hAnsi="Arial"/>
                <w:b w:val="1"/>
                <w:bCs w:val="1"/>
                <w:color w:val="FFFFFF"/>
                <w:sz w:val="18"/>
                <w:szCs w:val="18"/>
              </w:rPr>
              <w:t xml:space="preserve">Fuera de rango válido</w:t>
            </w:r>
          </w:p>
        </w:tc>
      </w:tr>
      <w:tr>
        <w:trPr>
          <w:cantSplit/>
        </w:trPr>
        <w:tc>
          <w:tcPr>
            <w:tcW w:w="1860" w:type="dxa"/>
          </w:tcPr>
          <w:p w14:paraId="2A0000EC">
            <w:pPr>
              <w:spacing w:after="0" w:before="0" w:line="240" w:lineRule="auto"/>
            </w:pPr>
            <w:r>
              <w:rPr>
                <w:rFonts w:ascii="Arial" w:cs="Arial" w:eastAsia="Arial" w:hAnsi="Arial"/>
                <w:sz w:val="18"/>
                <w:szCs w:val="18"/>
              </w:rPr>
              <w:t xml:space="preserve">Age</w:t>
            </w:r>
          </w:p>
        </w:tc>
        <w:tc>
          <w:tcPr>
            <w:tcW w:w="1860" w:type="dxa"/>
          </w:tcPr>
          <w:p w14:paraId="2A0000ED">
            <w:pPr>
              <w:spacing w:after="0" w:before="0" w:line="240" w:lineRule="auto"/>
            </w:pPr>
            <w:r>
              <w:rPr>
                <w:rFonts w:ascii="Arial" w:cs="Arial" w:eastAsia="Arial" w:hAnsi="Arial"/>
                <w:sz w:val="18"/>
                <w:szCs w:val="18"/>
              </w:rPr>
              <w:t xml:space="preserve">15</w:t>
            </w:r>
          </w:p>
        </w:tc>
        <w:tc>
          <w:tcPr>
            <w:tcW w:w="1860" w:type="dxa"/>
          </w:tcPr>
          <w:p w14:paraId="2A0000EE">
            <w:pPr>
              <w:spacing w:after="0" w:before="0" w:line="240" w:lineRule="auto"/>
            </w:pPr>
            <w:r>
              <w:rPr>
                <w:rFonts w:ascii="Arial" w:cs="Arial" w:eastAsia="Arial" w:hAnsi="Arial"/>
                <w:sz w:val="18"/>
                <w:szCs w:val="18"/>
              </w:rPr>
              <w:t xml:space="preserve">89</w:t>
            </w:r>
          </w:p>
        </w:tc>
        <w:tc>
          <w:tcPr>
            <w:tcW w:w="1860" w:type="dxa"/>
          </w:tcPr>
          <w:p w14:paraId="2A0000EF">
            <w:pPr>
              <w:spacing w:after="0" w:before="0" w:line="240" w:lineRule="auto"/>
            </w:pPr>
            <w:r>
              <w:rPr>
                <w:rFonts w:ascii="Arial" w:cs="Arial" w:eastAsia="Arial" w:hAnsi="Arial"/>
                <w:sz w:val="18"/>
                <w:szCs w:val="18"/>
              </w:rPr>
              <w:t xml:space="preserve">0</w:t>
            </w:r>
          </w:p>
        </w:tc>
        <w:tc>
          <w:tcPr>
            <w:tcW w:w="1860" w:type="dxa"/>
          </w:tcPr>
          <w:p w14:paraId="2A0000F0">
            <w:pPr>
              <w:spacing w:after="0" w:before="0" w:line="240" w:lineRule="auto"/>
            </w:pPr>
            <w:r>
              <w:rPr>
                <w:rFonts w:ascii="Arial" w:cs="Arial" w:eastAsia="Arial" w:hAnsi="Arial"/>
                <w:sz w:val="18"/>
                <w:szCs w:val="18"/>
              </w:rPr>
              <w:t xml:space="preserve">0</w:t>
            </w:r>
          </w:p>
        </w:tc>
      </w:tr>
      <w:tr>
        <w:trPr>
          <w:cantSplit/>
        </w:trPr>
        <w:tc>
          <w:tcPr>
            <w:tcW w:w="1860" w:type="dxa"/>
          </w:tcPr>
          <w:p w14:paraId="2A0000F1">
            <w:pPr>
              <w:spacing w:after="0" w:before="0" w:line="240" w:lineRule="auto"/>
            </w:pPr>
            <w:r>
              <w:rPr>
                <w:rFonts w:ascii="Arial" w:cs="Arial" w:eastAsia="Arial" w:hAnsi="Arial"/>
                <w:sz w:val="18"/>
                <w:szCs w:val="18"/>
              </w:rPr>
              <w:t xml:space="preserve">TSH_Level</w:t>
            </w:r>
          </w:p>
        </w:tc>
        <w:tc>
          <w:tcPr>
            <w:tcW w:w="1860" w:type="dxa"/>
          </w:tcPr>
          <w:p w14:paraId="2A0000F2">
            <w:pPr>
              <w:spacing w:after="0" w:before="0" w:line="240" w:lineRule="auto"/>
            </w:pPr>
            <w:r>
              <w:rPr>
                <w:rFonts w:ascii="Arial" w:cs="Arial" w:eastAsia="Arial" w:hAnsi="Arial"/>
                <w:sz w:val="18"/>
                <w:szCs w:val="18"/>
              </w:rPr>
              <w:t xml:space="preserve">0.1</w:t>
            </w:r>
          </w:p>
        </w:tc>
        <w:tc>
          <w:tcPr>
            <w:tcW w:w="1860" w:type="dxa"/>
          </w:tcPr>
          <w:p w14:paraId="2A0000F3">
            <w:pPr>
              <w:spacing w:after="0" w:before="0" w:line="240" w:lineRule="auto"/>
            </w:pPr>
            <w:r>
              <w:rPr>
                <w:rFonts w:ascii="Arial" w:cs="Arial" w:eastAsia="Arial" w:hAnsi="Arial"/>
                <w:sz w:val="18"/>
                <w:szCs w:val="18"/>
              </w:rPr>
              <w:t xml:space="preserve">10.0</w:t>
            </w:r>
          </w:p>
        </w:tc>
        <w:tc>
          <w:tcPr>
            <w:tcW w:w="1860" w:type="dxa"/>
          </w:tcPr>
          <w:p w14:paraId="2A0000F4">
            <w:pPr>
              <w:spacing w:after="0" w:before="0" w:line="240" w:lineRule="auto"/>
            </w:pPr>
            <w:r>
              <w:rPr>
                <w:rFonts w:ascii="Arial" w:cs="Arial" w:eastAsia="Arial" w:hAnsi="Arial"/>
                <w:sz w:val="18"/>
                <w:szCs w:val="18"/>
              </w:rPr>
              <w:t xml:space="preserve">0</w:t>
            </w:r>
          </w:p>
        </w:tc>
        <w:tc>
          <w:tcPr>
            <w:tcW w:w="1860" w:type="dxa"/>
          </w:tcPr>
          <w:p w14:paraId="2A0000F5">
            <w:pPr>
              <w:spacing w:after="0" w:before="0" w:line="240" w:lineRule="auto"/>
            </w:pPr>
            <w:r>
              <w:rPr>
                <w:rFonts w:ascii="Arial" w:cs="Arial" w:eastAsia="Arial" w:hAnsi="Arial"/>
                <w:sz w:val="18"/>
                <w:szCs w:val="18"/>
              </w:rPr>
              <w:t xml:space="preserve">0</w:t>
            </w:r>
          </w:p>
        </w:tc>
      </w:tr>
      <w:tr>
        <w:trPr>
          <w:cantSplit/>
        </w:trPr>
        <w:tc>
          <w:tcPr>
            <w:tcW w:w="1860" w:type="dxa"/>
          </w:tcPr>
          <w:p w14:paraId="2A0000F6">
            <w:pPr>
              <w:spacing w:after="0" w:before="0" w:line="240" w:lineRule="auto"/>
            </w:pPr>
            <w:r>
              <w:rPr>
                <w:rFonts w:ascii="Arial" w:cs="Arial" w:eastAsia="Arial" w:hAnsi="Arial"/>
                <w:sz w:val="18"/>
                <w:szCs w:val="18"/>
              </w:rPr>
              <w:t xml:space="preserve">T3_Level</w:t>
            </w:r>
          </w:p>
        </w:tc>
        <w:tc>
          <w:tcPr>
            <w:tcW w:w="1860" w:type="dxa"/>
          </w:tcPr>
          <w:p w14:paraId="2A0000F7">
            <w:pPr>
              <w:spacing w:after="0" w:before="0" w:line="240" w:lineRule="auto"/>
            </w:pPr>
            <w:r>
              <w:rPr>
                <w:rFonts w:ascii="Arial" w:cs="Arial" w:eastAsia="Arial" w:hAnsi="Arial"/>
                <w:sz w:val="18"/>
                <w:szCs w:val="18"/>
              </w:rPr>
              <w:t xml:space="preserve">0.5</w:t>
            </w:r>
          </w:p>
        </w:tc>
        <w:tc>
          <w:tcPr>
            <w:tcW w:w="1860" w:type="dxa"/>
          </w:tcPr>
          <w:p w14:paraId="2A0000F8">
            <w:pPr>
              <w:spacing w:after="0" w:before="0" w:line="240" w:lineRule="auto"/>
            </w:pPr>
            <w:r>
              <w:rPr>
                <w:rFonts w:ascii="Arial" w:cs="Arial" w:eastAsia="Arial" w:hAnsi="Arial"/>
                <w:sz w:val="18"/>
                <w:szCs w:val="18"/>
              </w:rPr>
              <w:t xml:space="preserve">3.5</w:t>
            </w:r>
          </w:p>
        </w:tc>
        <w:tc>
          <w:tcPr>
            <w:tcW w:w="1860" w:type="dxa"/>
          </w:tcPr>
          <w:p w14:paraId="2A0000F9">
            <w:pPr>
              <w:spacing w:after="0" w:before="0" w:line="240" w:lineRule="auto"/>
            </w:pPr>
            <w:r>
              <w:rPr>
                <w:rFonts w:ascii="Arial" w:cs="Arial" w:eastAsia="Arial" w:hAnsi="Arial"/>
                <w:sz w:val="18"/>
                <w:szCs w:val="18"/>
              </w:rPr>
              <w:t xml:space="preserve">0</w:t>
            </w:r>
          </w:p>
        </w:tc>
        <w:tc>
          <w:tcPr>
            <w:tcW w:w="1860" w:type="dxa"/>
          </w:tcPr>
          <w:p w14:paraId="2A0000FA">
            <w:pPr>
              <w:spacing w:after="0" w:before="0" w:line="240" w:lineRule="auto"/>
            </w:pPr>
            <w:r>
              <w:rPr>
                <w:rFonts w:ascii="Arial" w:cs="Arial" w:eastAsia="Arial" w:hAnsi="Arial"/>
                <w:sz w:val="18"/>
                <w:szCs w:val="18"/>
              </w:rPr>
              <w:t xml:space="preserve">0</w:t>
            </w:r>
          </w:p>
        </w:tc>
      </w:tr>
      <w:tr>
        <w:trPr>
          <w:cantSplit/>
        </w:trPr>
        <w:tc>
          <w:tcPr>
            <w:tcW w:w="1860" w:type="dxa"/>
          </w:tcPr>
          <w:p w14:paraId="2A0000FB">
            <w:pPr>
              <w:spacing w:after="0" w:before="0" w:line="240" w:lineRule="auto"/>
            </w:pPr>
            <w:r>
              <w:rPr>
                <w:rFonts w:ascii="Arial" w:cs="Arial" w:eastAsia="Arial" w:hAnsi="Arial"/>
                <w:sz w:val="18"/>
                <w:szCs w:val="18"/>
              </w:rPr>
              <w:t xml:space="preserve">T4_Level</w:t>
            </w:r>
          </w:p>
        </w:tc>
        <w:tc>
          <w:tcPr>
            <w:tcW w:w="1860" w:type="dxa"/>
          </w:tcPr>
          <w:p w14:paraId="2A0000FC">
            <w:pPr>
              <w:spacing w:after="0" w:before="0" w:line="240" w:lineRule="auto"/>
            </w:pPr>
            <w:r>
              <w:rPr>
                <w:rFonts w:ascii="Arial" w:cs="Arial" w:eastAsia="Arial" w:hAnsi="Arial"/>
                <w:sz w:val="18"/>
                <w:szCs w:val="18"/>
              </w:rPr>
              <w:t xml:space="preserve">4.5</w:t>
            </w:r>
          </w:p>
        </w:tc>
        <w:tc>
          <w:tcPr>
            <w:tcW w:w="1860" w:type="dxa"/>
          </w:tcPr>
          <w:p w14:paraId="2A0000FD">
            <w:pPr>
              <w:spacing w:after="0" w:before="0" w:line="240" w:lineRule="auto"/>
            </w:pPr>
            <w:r>
              <w:rPr>
                <w:rFonts w:ascii="Arial" w:cs="Arial" w:eastAsia="Arial" w:hAnsi="Arial"/>
                <w:sz w:val="18"/>
                <w:szCs w:val="18"/>
              </w:rPr>
              <w:t xml:space="preserve">12.0</w:t>
            </w:r>
          </w:p>
        </w:tc>
        <w:tc>
          <w:tcPr>
            <w:tcW w:w="1860" w:type="dxa"/>
          </w:tcPr>
          <w:p w14:paraId="2A0000FE">
            <w:pPr>
              <w:spacing w:after="0" w:before="0" w:line="240" w:lineRule="auto"/>
            </w:pPr>
            <w:r>
              <w:rPr>
                <w:rFonts w:ascii="Arial" w:cs="Arial" w:eastAsia="Arial" w:hAnsi="Arial"/>
                <w:sz w:val="18"/>
                <w:szCs w:val="18"/>
              </w:rPr>
              <w:t xml:space="preserve">0</w:t>
            </w:r>
          </w:p>
        </w:tc>
        <w:tc>
          <w:tcPr>
            <w:tcW w:w="1860" w:type="dxa"/>
          </w:tcPr>
          <w:p w14:paraId="2A0000FF">
            <w:pPr>
              <w:spacing w:after="0" w:before="0" w:line="240" w:lineRule="auto"/>
            </w:pPr>
            <w:r>
              <w:rPr>
                <w:rFonts w:ascii="Arial" w:cs="Arial" w:eastAsia="Arial" w:hAnsi="Arial"/>
                <w:sz w:val="18"/>
                <w:szCs w:val="18"/>
              </w:rPr>
              <w:t xml:space="preserve">0</w:t>
            </w:r>
          </w:p>
        </w:tc>
      </w:tr>
      <w:tr>
        <w:trPr>
          <w:cantSplit/>
        </w:trPr>
        <w:tc>
          <w:tcPr>
            <w:tcW w:w="1860" w:type="dxa"/>
          </w:tcPr>
          <w:p w14:paraId="2A000100">
            <w:pPr>
              <w:spacing w:after="0" w:before="0" w:line="240" w:lineRule="auto"/>
            </w:pPr>
            <w:r>
              <w:rPr>
                <w:rFonts w:ascii="Arial" w:cs="Arial" w:eastAsia="Arial" w:hAnsi="Arial"/>
                <w:sz w:val="18"/>
                <w:szCs w:val="18"/>
              </w:rPr>
              <w:t xml:space="preserve">Nodule_Size</w:t>
            </w:r>
          </w:p>
        </w:tc>
        <w:tc>
          <w:tcPr>
            <w:tcW w:w="1860" w:type="dxa"/>
          </w:tcPr>
          <w:p w14:paraId="2A000101">
            <w:pPr>
              <w:spacing w:after="0" w:before="0" w:line="240" w:lineRule="auto"/>
            </w:pPr>
            <w:r>
              <w:rPr>
                <w:rFonts w:ascii="Arial" w:cs="Arial" w:eastAsia="Arial" w:hAnsi="Arial"/>
                <w:sz w:val="18"/>
                <w:szCs w:val="18"/>
              </w:rPr>
              <w:t xml:space="preserve">0.0</w:t>
            </w:r>
          </w:p>
        </w:tc>
        <w:tc>
          <w:tcPr>
            <w:tcW w:w="1860" w:type="dxa"/>
          </w:tcPr>
          <w:p w14:paraId="2A000102">
            <w:pPr>
              <w:spacing w:after="0" w:before="0" w:line="240" w:lineRule="auto"/>
            </w:pPr>
            <w:r>
              <w:rPr>
                <w:rFonts w:ascii="Arial" w:cs="Arial" w:eastAsia="Arial" w:hAnsi="Arial"/>
                <w:sz w:val="18"/>
                <w:szCs w:val="18"/>
              </w:rPr>
              <w:t xml:space="preserve">5.0</w:t>
            </w:r>
          </w:p>
        </w:tc>
        <w:tc>
          <w:tcPr>
            <w:tcW w:w="1860" w:type="dxa"/>
          </w:tcPr>
          <w:p w14:paraId="2A000103">
            <w:pPr>
              <w:spacing w:after="0" w:before="0" w:line="240" w:lineRule="auto"/>
            </w:pPr>
            <w:r>
              <w:rPr>
                <w:rFonts w:ascii="Arial" w:cs="Arial" w:eastAsia="Arial" w:hAnsi="Arial"/>
                <w:sz w:val="18"/>
                <w:szCs w:val="18"/>
              </w:rPr>
              <w:t xml:space="preserve">0</w:t>
            </w:r>
          </w:p>
        </w:tc>
        <w:tc>
          <w:tcPr>
            <w:tcW w:w="1860" w:type="dxa"/>
          </w:tcPr>
          <w:p w14:paraId="2A000104">
            <w:pPr>
              <w:spacing w:after="0" w:before="0" w:line="240" w:lineRule="auto"/>
            </w:pPr>
            <w:r>
              <w:rPr>
                <w:rFonts w:ascii="Arial" w:cs="Arial" w:eastAsia="Arial" w:hAnsi="Arial"/>
                <w:sz w:val="18"/>
                <w:szCs w:val="18"/>
              </w:rPr>
              <w:t xml:space="preserve">0</w:t>
            </w:r>
          </w:p>
        </w:tc>
      </w:tr>
    </w:tbl>
    <w:p w14:paraId="2A000105">
      <w:pPr>
        <w:spacing w:after="60" w:before="0" w:line="276" w:lineRule="auto"/>
        <w:jc w:val="both"/>
      </w:pPr>
    </w:p>
    <w:p w14:paraId="2A000106">
      <w:pPr>
        <w:spacing w:after="120" w:before="120" w:line="276" w:lineRule="auto"/>
        <w:jc w:val="both"/>
      </w:pPr>
      <w:r>
        <w:rPr>
          <w:rFonts w:ascii="Arial" w:cs="Arial" w:eastAsia="Arial" w:hAnsi="Arial"/>
          <w:sz w:val="24"/>
          <w:szCs w:val="24"/>
        </w:rPr>
        <w:t xml:space="preserve">Al tener distribuciones uniformes con límites definidos, la regla del rango intercuartílico no detecta valores atípicos y todos los valores caen en rangos válidos. </w:t>
      </w:r>
      <w:r>
        <w:rPr>
          <w:rFonts w:ascii="Arial" w:cs="Arial" w:eastAsia="Arial" w:hAnsi="Arial"/>
          <w:b w:val="1"/>
          <w:bCs w:val="1"/>
          <w:sz w:val="24"/>
          <w:szCs w:val="24"/>
        </w:rPr>
        <w:t xml:space="preserve">Decisión:</w:t>
      </w:r>
      <w:r>
        <w:rPr>
          <w:rFonts w:ascii="Arial" w:cs="Arial" w:eastAsia="Arial" w:hAnsi="Arial"/>
          <w:sz w:val="24"/>
          <w:szCs w:val="24"/>
        </w:rPr>
        <w:t xml:space="preserve"> no se eliminan ni recortan valores, porque son plausibles y eliminarlos solo reduciría información sin justificación.</w:t>
      </w:r>
    </w:p>
    <w:p w14:paraId="2A000107">
      <w:pPr>
        <w:keepNext/>
        <w:spacing w:after="160" w:before="240" w:lineRule="auto"/>
      </w:pPr>
      <w:r>
        <w:rPr>
          <w:b w:val="1"/>
          <w:bCs w:val="1"/>
          <w:sz w:val="32"/>
          <w:szCs w:val="32"/>
        </w:rPr>
        <w:t xml:space="preserve">4.6 Reglas lógicas o de negocio</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6565"/>
        <w:gridCol w:w="1641"/>
        <w:gridCol w:w="1094"/>
      </w:tblGrid>
      <w:tr>
        <w:trPr>
          <w:tblHeader/>
          <w:cantSplit/>
        </w:trPr>
        <w:tc>
          <w:tcPr>
            <w:tcW w:w="6565" w:type="dxa"/>
            <w:shd w:val="clear" w:color="auto" w:fill="1F3864"/>
          </w:tcPr>
          <w:p w14:paraId="2A000108">
            <w:pPr>
              <w:spacing w:after="0" w:before="0" w:line="240" w:lineRule="auto"/>
            </w:pPr>
            <w:r>
              <w:rPr>
                <w:rFonts w:ascii="Arial" w:cs="Arial" w:eastAsia="Arial" w:hAnsi="Arial"/>
                <w:b w:val="1"/>
                <w:bCs w:val="1"/>
                <w:color w:val="FFFFFF"/>
                <w:sz w:val="18"/>
                <w:szCs w:val="18"/>
              </w:rPr>
              <w:t xml:space="preserve">Regla verificada</w:t>
            </w:r>
          </w:p>
        </w:tc>
        <w:tc>
          <w:tcPr>
            <w:tcW w:w="1641" w:type="dxa"/>
            <w:shd w:val="clear" w:color="auto" w:fill="1F3864"/>
          </w:tcPr>
          <w:p w14:paraId="2A000109">
            <w:pPr>
              <w:spacing w:after="0" w:before="0" w:line="240" w:lineRule="auto"/>
            </w:pPr>
            <w:r>
              <w:rPr>
                <w:rFonts w:ascii="Arial" w:cs="Arial" w:eastAsia="Arial" w:hAnsi="Arial"/>
                <w:b w:val="1"/>
                <w:bCs w:val="1"/>
                <w:color w:val="FFFFFF"/>
                <w:sz w:val="18"/>
                <w:szCs w:val="18"/>
              </w:rPr>
              <w:t xml:space="preserve">Registros</w:t>
            </w:r>
          </w:p>
        </w:tc>
        <w:tc>
          <w:tcPr>
            <w:tcW w:w="1094" w:type="dxa"/>
            <w:shd w:val="clear" w:color="auto" w:fill="1F3864"/>
          </w:tcPr>
          <w:p w14:paraId="2A00010A">
            <w:pPr>
              <w:spacing w:after="0" w:before="0" w:line="240" w:lineRule="auto"/>
            </w:pPr>
            <w:r>
              <w:rPr>
                <w:rFonts w:ascii="Arial" w:cs="Arial" w:eastAsia="Arial" w:hAnsi="Arial"/>
                <w:b w:val="1"/>
                <w:bCs w:val="1"/>
                <w:color w:val="FFFFFF"/>
                <w:sz w:val="18"/>
                <w:szCs w:val="18"/>
              </w:rPr>
              <w:t xml:space="preserve">%</w:t>
            </w:r>
          </w:p>
        </w:tc>
      </w:tr>
      <w:tr>
        <w:trPr>
          <w:cantSplit/>
        </w:trPr>
        <w:tc>
          <w:tcPr>
            <w:tcW w:w="6565" w:type="dxa"/>
          </w:tcPr>
          <w:p w14:paraId="2A00010B">
            <w:pPr>
              <w:spacing w:after="0" w:before="0" w:line="240" w:lineRule="auto"/>
            </w:pPr>
            <w:r>
              <w:rPr>
                <w:rFonts w:ascii="Arial" w:cs="Arial" w:eastAsia="Arial" w:hAnsi="Arial"/>
                <w:sz w:val="18"/>
                <w:szCs w:val="18"/>
              </w:rPr>
              <w:t xml:space="preserve">TSH fuera del rango de referencia (0.4–4.5 mIU/L)</w:t>
            </w:r>
          </w:p>
        </w:tc>
        <w:tc>
          <w:tcPr>
            <w:tcW w:w="1641" w:type="dxa"/>
          </w:tcPr>
          <w:p w14:paraId="2A00010C">
            <w:pPr>
              <w:spacing w:after="0" w:before="0" w:line="240" w:lineRule="auto"/>
            </w:pPr>
            <w:r>
              <w:rPr>
                <w:rFonts w:ascii="Arial" w:cs="Arial" w:eastAsia="Arial" w:hAnsi="Arial"/>
                <w:sz w:val="18"/>
                <w:szCs w:val="18"/>
              </w:rPr>
              <w:t xml:space="preserve">124 472</w:t>
            </w:r>
          </w:p>
        </w:tc>
        <w:tc>
          <w:tcPr>
            <w:tcW w:w="1094" w:type="dxa"/>
          </w:tcPr>
          <w:p w14:paraId="2A00010D">
            <w:pPr>
              <w:spacing w:after="0" w:before="0" w:line="240" w:lineRule="auto"/>
            </w:pPr>
            <w:r>
              <w:rPr>
                <w:rFonts w:ascii="Arial" w:cs="Arial" w:eastAsia="Arial" w:hAnsi="Arial"/>
                <w:sz w:val="18"/>
                <w:szCs w:val="18"/>
              </w:rPr>
              <w:t xml:space="preserve">58.5 %</w:t>
            </w:r>
          </w:p>
        </w:tc>
      </w:tr>
      <w:tr>
        <w:trPr>
          <w:cantSplit/>
        </w:trPr>
        <w:tc>
          <w:tcPr>
            <w:tcW w:w="6565" w:type="dxa"/>
          </w:tcPr>
          <w:p w14:paraId="2A00010E">
            <w:pPr>
              <w:spacing w:after="0" w:before="0" w:line="240" w:lineRule="auto"/>
            </w:pPr>
            <w:r>
              <w:rPr>
                <w:rFonts w:ascii="Arial" w:cs="Arial" w:eastAsia="Arial" w:hAnsi="Arial"/>
                <w:sz w:val="18"/>
                <w:szCs w:val="18"/>
              </w:rPr>
              <w:t xml:space="preserve">TSH alta (&gt; 4.5) y T4 alta (&gt; 11) simultáneamente</w:t>
            </w:r>
          </w:p>
        </w:tc>
        <w:tc>
          <w:tcPr>
            <w:tcW w:w="1641" w:type="dxa"/>
          </w:tcPr>
          <w:p w14:paraId="2A00010F">
            <w:pPr>
              <w:spacing w:after="0" w:before="0" w:line="240" w:lineRule="auto"/>
            </w:pPr>
            <w:r>
              <w:rPr>
                <w:rFonts w:ascii="Arial" w:cs="Arial" w:eastAsia="Arial" w:hAnsi="Arial"/>
                <w:sz w:val="18"/>
                <w:szCs w:val="18"/>
              </w:rPr>
              <w:t xml:space="preserve">15 609</w:t>
            </w:r>
          </w:p>
        </w:tc>
        <w:tc>
          <w:tcPr>
            <w:tcW w:w="1094" w:type="dxa"/>
          </w:tcPr>
          <w:p w14:paraId="2A000110">
            <w:pPr>
              <w:spacing w:after="0" w:before="0" w:line="240" w:lineRule="auto"/>
            </w:pPr>
            <w:r>
              <w:rPr>
                <w:rFonts w:ascii="Arial" w:cs="Arial" w:eastAsia="Arial" w:hAnsi="Arial"/>
                <w:sz w:val="18"/>
                <w:szCs w:val="18"/>
              </w:rPr>
              <w:t xml:space="preserve">7.3 %</w:t>
            </w:r>
          </w:p>
        </w:tc>
      </w:tr>
      <w:tr>
        <w:trPr>
          <w:cantSplit/>
        </w:trPr>
        <w:tc>
          <w:tcPr>
            <w:tcW w:w="6565" w:type="dxa"/>
          </w:tcPr>
          <w:p w14:paraId="2A000111">
            <w:pPr>
              <w:spacing w:after="0" w:before="0" w:line="240" w:lineRule="auto"/>
            </w:pPr>
            <w:r>
              <w:rPr>
                <w:rFonts w:ascii="Arial" w:cs="Arial" w:eastAsia="Arial" w:hAnsi="Arial"/>
                <w:sz w:val="18"/>
                <w:szCs w:val="18"/>
              </w:rPr>
              <w:t xml:space="preserve">Edad menor de 18 años</w:t>
            </w:r>
          </w:p>
        </w:tc>
        <w:tc>
          <w:tcPr>
            <w:tcW w:w="1641" w:type="dxa"/>
          </w:tcPr>
          <w:p w14:paraId="2A000112">
            <w:pPr>
              <w:spacing w:after="0" w:before="0" w:line="240" w:lineRule="auto"/>
            </w:pPr>
            <w:r>
              <w:rPr>
                <w:rFonts w:ascii="Arial" w:cs="Arial" w:eastAsia="Arial" w:hAnsi="Arial"/>
                <w:sz w:val="18"/>
                <w:szCs w:val="18"/>
              </w:rPr>
              <w:t xml:space="preserve">8 571</w:t>
            </w:r>
          </w:p>
        </w:tc>
        <w:tc>
          <w:tcPr>
            <w:tcW w:w="1094" w:type="dxa"/>
          </w:tcPr>
          <w:p w14:paraId="2A000113">
            <w:pPr>
              <w:spacing w:after="0" w:before="0" w:line="240" w:lineRule="auto"/>
            </w:pPr>
            <w:r>
              <w:rPr>
                <w:rFonts w:ascii="Arial" w:cs="Arial" w:eastAsia="Arial" w:hAnsi="Arial"/>
                <w:sz w:val="18"/>
                <w:szCs w:val="18"/>
              </w:rPr>
              <w:t xml:space="preserve">4.0 %</w:t>
            </w:r>
          </w:p>
        </w:tc>
      </w:tr>
      <w:tr>
        <w:trPr>
          <w:cantSplit/>
        </w:trPr>
        <w:tc>
          <w:tcPr>
            <w:tcW w:w="6565" w:type="dxa"/>
          </w:tcPr>
          <w:p w14:paraId="2A000114">
            <w:pPr>
              <w:spacing w:after="0" w:before="0" w:line="240" w:lineRule="auto"/>
            </w:pPr>
            <w:r>
              <w:rPr>
                <w:rFonts w:ascii="Arial" w:cs="Arial" w:eastAsia="Arial" w:hAnsi="Arial"/>
                <w:sz w:val="18"/>
                <w:szCs w:val="18"/>
              </w:rPr>
              <w:t xml:space="preserve">Nodule_Size = 0 (sin nódulo medible)</w:t>
            </w:r>
          </w:p>
        </w:tc>
        <w:tc>
          <w:tcPr>
            <w:tcW w:w="1641" w:type="dxa"/>
          </w:tcPr>
          <w:p w14:paraId="2A000115">
            <w:pPr>
              <w:spacing w:after="0" w:before="0" w:line="240" w:lineRule="auto"/>
            </w:pPr>
            <w:r>
              <w:rPr>
                <w:rFonts w:ascii="Arial" w:cs="Arial" w:eastAsia="Arial" w:hAnsi="Arial"/>
                <w:sz w:val="18"/>
                <w:szCs w:val="18"/>
              </w:rPr>
              <w:t xml:space="preserve">196</w:t>
            </w:r>
          </w:p>
        </w:tc>
        <w:tc>
          <w:tcPr>
            <w:tcW w:w="1094" w:type="dxa"/>
          </w:tcPr>
          <w:p w14:paraId="2A000116">
            <w:pPr>
              <w:spacing w:after="0" w:before="0" w:line="240" w:lineRule="auto"/>
            </w:pPr>
            <w:r>
              <w:rPr>
                <w:rFonts w:ascii="Arial" w:cs="Arial" w:eastAsia="Arial" w:hAnsi="Arial"/>
                <w:sz w:val="18"/>
                <w:szCs w:val="18"/>
              </w:rPr>
              <w:t xml:space="preserve">0.1 %</w:t>
            </w:r>
          </w:p>
        </w:tc>
      </w:tr>
    </w:tbl>
    <w:p w14:paraId="2A000117">
      <w:pPr>
        <w:spacing w:after="60" w:before="0" w:line="276" w:lineRule="auto"/>
        <w:jc w:val="both"/>
      </w:pPr>
    </w:p>
    <w:p w14:paraId="2A000118">
      <w:pPr>
        <w:spacing w:after="120" w:before="120" w:line="276" w:lineRule="auto"/>
        <w:jc w:val="both"/>
      </w:pPr>
      <w:r>
        <w:rPr>
          <w:rFonts w:ascii="Arial" w:cs="Arial" w:eastAsia="Arial" w:hAnsi="Arial"/>
          <w:sz w:val="24"/>
          <w:szCs w:val="24"/>
        </w:rPr>
        <w:t xml:space="preserve">Más de la mitad de los pacientes tiene TSH fuera del rango de referencia y un 7.3 % presenta TSH y T4 altas a la vez, combinación fisiológicamente poco habitual. </w:t>
      </w:r>
      <w:r>
        <w:rPr>
          <w:rFonts w:ascii="Arial" w:cs="Arial" w:eastAsia="Arial" w:hAnsi="Arial"/>
          <w:b w:val="1"/>
          <w:bCs w:val="1"/>
          <w:sz w:val="24"/>
          <w:szCs w:val="24"/>
        </w:rPr>
        <w:t xml:space="preserve">Decisión:</w:t>
      </w:r>
      <w:r>
        <w:rPr>
          <w:rFonts w:ascii="Arial" w:cs="Arial" w:eastAsia="Arial" w:hAnsi="Arial"/>
          <w:sz w:val="24"/>
          <w:szCs w:val="24"/>
        </w:rPr>
        <w:t xml:space="preserve"> se documentan como riesgo para la validez del análisis, pero no se corrigen ni eliminan, porque el grupo no cuenta con criterio clínico ni con información sobre las unidades de laboratorio para afirmar que son errores. Los menores de edad y los nódulos de tamaño 0 se conservan por ser casos posibles.</w:t>
      </w:r>
    </w:p>
    <w:p w14:paraId="2A000119">
      <w:pPr>
        <w:keepNext/>
        <w:spacing w:after="160" w:before="240" w:lineRule="auto"/>
      </w:pPr>
      <w:r>
        <w:rPr>
          <w:b w:val="1"/>
          <w:bCs w:val="1"/>
          <w:sz w:val="32"/>
          <w:szCs w:val="32"/>
        </w:rPr>
        <w:t xml:space="preserve">4.7 Transformaciones realizadas</w:t>
      </w:r>
    </w:p>
    <w:p w14:paraId="2A00011A">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Exclusión de variables:</w:t>
      </w:r>
      <w:r>
        <w:rPr>
          <w:rFonts w:ascii="Arial" w:cs="Arial" w:eastAsia="Arial" w:hAnsi="Arial"/>
          <w:sz w:val="24"/>
          <w:szCs w:val="24"/>
        </w:rPr>
        <w:t xml:space="preserve"> Patient_ID (identificador sin información) y Thyroid_Cancer_Risk (puntaje con posible fuga de información, sección 3.5).</w:t>
      </w:r>
    </w:p>
    <w:p w14:paraId="2A00011B">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Limpieza determinista</w:t>
      </w:r>
      <w:r>
        <w:rPr>
          <w:rFonts w:ascii="Arial" w:cs="Arial" w:eastAsia="Arial" w:hAnsi="Arial"/>
          <w:sz w:val="24"/>
          <w:szCs w:val="24"/>
        </w:rPr>
        <w:t xml:space="preserve"> (antes del split, sin parámetros aprendidos): eliminación de espacios, verificación de duplicados y de rangos válidos. Al no aprender nada de los datos, no genera fuga.</w:t>
      </w:r>
    </w:p>
    <w:p w14:paraId="2A00011C">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Variables numéricas:</w:t>
      </w:r>
      <w:r>
        <w:rPr>
          <w:rFonts w:ascii="Arial" w:cs="Arial" w:eastAsia="Arial" w:hAnsi="Arial"/>
          <w:sz w:val="24"/>
          <w:szCs w:val="24"/>
        </w:rPr>
        <w:t xml:space="preserve"> imputación por mediana y estandarización (StandardScaler) solo para la Regresión Logística, que es sensible a la escala. Los modelos de árboles reciben las numéricas sin escalar.</w:t>
      </w:r>
    </w:p>
    <w:p w14:paraId="2A00011D">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Variables categóricas:</w:t>
      </w:r>
      <w:r>
        <w:rPr>
          <w:rFonts w:ascii="Arial" w:cs="Arial" w:eastAsia="Arial" w:hAnsi="Arial"/>
          <w:sz w:val="24"/>
          <w:szCs w:val="24"/>
        </w:rPr>
        <w:t xml:space="preserve"> imputación por moda y One-Hot Encoding con drop='if_binary' (las binarias generan una sola columna) y handle_unknown='ignore' (robustez ante categorías nuevas). Resultado: 27 variables transformadas.</w:t>
      </w:r>
    </w:p>
    <w:p w14:paraId="2A00011E">
      <w:pPr>
        <w:spacing w:after="240" w:before="240" w:lineRule="auto"/>
      </w:pPr>
      <w:r>
        <w:br w:type="page"/>
      </w:r>
      <w:r>
        <w:rPr>
          <w:b w:val="1"/>
          <w:bCs w:val="1"/>
          <w:sz w:val="36"/>
          <w:szCs w:val="36"/>
        </w:rPr>
        <w:t xml:space="preserve">5. Separación de Datos</w:t>
      </w:r>
    </w:p>
    <w:p w14:paraId="2A00011F">
      <w:pPr>
        <w:keepNext/>
        <w:spacing w:after="160" w:before="240" w:lineRule="auto"/>
      </w:pPr>
      <w:r>
        <w:rPr>
          <w:b w:val="1"/>
          <w:bCs w:val="1"/>
          <w:sz w:val="32"/>
          <w:szCs w:val="32"/>
        </w:rPr>
        <w:t xml:space="preserve">5.1 Estrategia de separación</w:t>
      </w:r>
    </w:p>
    <w:p w14:paraId="2A000120">
      <w:pPr>
        <w:spacing w:after="120" w:before="120" w:line="276" w:lineRule="auto"/>
        <w:jc w:val="both"/>
      </w:pPr>
      <w:r>
        <w:rPr>
          <w:rFonts w:ascii="Arial" w:cs="Arial" w:eastAsia="Arial" w:hAnsi="Arial"/>
          <w:sz w:val="24"/>
          <w:szCs w:val="24"/>
        </w:rPr>
        <w:t xml:space="preserve">Se aplicó un </w:t>
      </w:r>
      <w:r>
        <w:rPr>
          <w:rFonts w:ascii="Arial" w:cs="Arial" w:eastAsia="Arial" w:hAnsi="Arial"/>
          <w:b w:val="1"/>
          <w:bCs w:val="1"/>
          <w:sz w:val="24"/>
          <w:szCs w:val="24"/>
        </w:rPr>
        <w:t xml:space="preserve">hold-out estratificado en tres partes</w:t>
      </w:r>
      <w:r>
        <w:rPr>
          <w:rFonts w:ascii="Arial" w:cs="Arial" w:eastAsia="Arial" w:hAnsi="Arial"/>
          <w:sz w:val="24"/>
          <w:szCs w:val="24"/>
        </w:rPr>
        <w:t xml:space="preserve"> (train / validation / test) con semilla fija (random_state = 42), complementado con </w:t>
      </w:r>
      <w:r>
        <w:rPr>
          <w:rFonts w:ascii="Arial" w:cs="Arial" w:eastAsia="Arial" w:hAnsi="Arial"/>
          <w:b w:val="1"/>
          <w:bCs w:val="1"/>
          <w:sz w:val="24"/>
          <w:szCs w:val="24"/>
        </w:rPr>
        <w:t xml:space="preserve">validación cruzada estratificada de 5 folds</w:t>
      </w:r>
      <w:r>
        <w:rPr>
          <w:rFonts w:ascii="Arial" w:cs="Arial" w:eastAsia="Arial" w:hAnsi="Arial"/>
          <w:sz w:val="24"/>
          <w:szCs w:val="24"/>
        </w:rPr>
        <w:t xml:space="preserve"> sobre el conjunto de entrenamiento para medir la estabilidad de los modelos.</w:t>
      </w:r>
    </w:p>
    <w:p w14:paraId="2A000121">
      <w:pPr>
        <w:keepNext/>
        <w:spacing w:after="160" w:before="240" w:lineRule="auto"/>
      </w:pPr>
      <w:r>
        <w:rPr>
          <w:b w:val="1"/>
          <w:bCs w:val="1"/>
          <w:sz w:val="32"/>
          <w:szCs w:val="32"/>
        </w:rPr>
        <w:t xml:space="preserve">5.2 Proporciones utilizadas</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1356"/>
        <w:gridCol w:w="1259"/>
        <w:gridCol w:w="1162"/>
        <w:gridCol w:w="1259"/>
        <w:gridCol w:w="4262"/>
      </w:tblGrid>
      <w:tr>
        <w:trPr>
          <w:tblHeader/>
          <w:cantSplit/>
        </w:trPr>
        <w:tc>
          <w:tcPr>
            <w:tcW w:w="1356" w:type="dxa"/>
            <w:shd w:val="clear" w:color="auto" w:fill="1F3864"/>
          </w:tcPr>
          <w:p w14:paraId="2A000122">
            <w:pPr>
              <w:spacing w:after="0" w:before="0" w:line="240" w:lineRule="auto"/>
            </w:pPr>
            <w:r>
              <w:rPr>
                <w:rFonts w:ascii="Arial" w:cs="Arial" w:eastAsia="Arial" w:hAnsi="Arial"/>
                <w:b w:val="1"/>
                <w:bCs w:val="1"/>
                <w:color w:val="FFFFFF"/>
                <w:sz w:val="18"/>
                <w:szCs w:val="18"/>
              </w:rPr>
              <w:t xml:space="preserve">Conjunto</w:t>
            </w:r>
          </w:p>
        </w:tc>
        <w:tc>
          <w:tcPr>
            <w:tcW w:w="1259" w:type="dxa"/>
            <w:shd w:val="clear" w:color="auto" w:fill="1F3864"/>
          </w:tcPr>
          <w:p w14:paraId="2A000123">
            <w:pPr>
              <w:spacing w:after="0" w:before="0" w:line="240" w:lineRule="auto"/>
            </w:pPr>
            <w:r>
              <w:rPr>
                <w:rFonts w:ascii="Arial" w:cs="Arial" w:eastAsia="Arial" w:hAnsi="Arial"/>
                <w:b w:val="1"/>
                <w:bCs w:val="1"/>
                <w:color w:val="FFFFFF"/>
                <w:sz w:val="18"/>
                <w:szCs w:val="18"/>
              </w:rPr>
              <w:t xml:space="preserve">Registros</w:t>
            </w:r>
          </w:p>
        </w:tc>
        <w:tc>
          <w:tcPr>
            <w:tcW w:w="1162" w:type="dxa"/>
            <w:shd w:val="clear" w:color="auto" w:fill="1F3864"/>
          </w:tcPr>
          <w:p w14:paraId="2A000124">
            <w:pPr>
              <w:spacing w:after="0" w:before="0" w:line="240" w:lineRule="auto"/>
            </w:pPr>
            <w:r>
              <w:rPr>
                <w:rFonts w:ascii="Arial" w:cs="Arial" w:eastAsia="Arial" w:hAnsi="Arial"/>
                <w:b w:val="1"/>
                <w:bCs w:val="1"/>
                <w:color w:val="FFFFFF"/>
                <w:sz w:val="18"/>
                <w:szCs w:val="18"/>
              </w:rPr>
              <w:t xml:space="preserve">% del total</w:t>
            </w:r>
          </w:p>
        </w:tc>
        <w:tc>
          <w:tcPr>
            <w:tcW w:w="1259" w:type="dxa"/>
            <w:shd w:val="clear" w:color="auto" w:fill="1F3864"/>
          </w:tcPr>
          <w:p w14:paraId="2A000125">
            <w:pPr>
              <w:spacing w:after="0" w:before="0" w:line="240" w:lineRule="auto"/>
            </w:pPr>
            <w:r>
              <w:rPr>
                <w:rFonts w:ascii="Arial" w:cs="Arial" w:eastAsia="Arial" w:hAnsi="Arial"/>
                <w:b w:val="1"/>
                <w:bCs w:val="1"/>
                <w:color w:val="FFFFFF"/>
                <w:sz w:val="18"/>
                <w:szCs w:val="18"/>
              </w:rPr>
              <w:t xml:space="preserve">% Malignant</w:t>
            </w:r>
          </w:p>
        </w:tc>
        <w:tc>
          <w:tcPr>
            <w:tcW w:w="4262" w:type="dxa"/>
            <w:shd w:val="clear" w:color="auto" w:fill="1F3864"/>
          </w:tcPr>
          <w:p w14:paraId="2A000126">
            <w:pPr>
              <w:spacing w:after="0" w:before="0" w:line="240" w:lineRule="auto"/>
            </w:pPr>
            <w:r>
              <w:rPr>
                <w:rFonts w:ascii="Arial" w:cs="Arial" w:eastAsia="Arial" w:hAnsi="Arial"/>
                <w:b w:val="1"/>
                <w:bCs w:val="1"/>
                <w:color w:val="FFFFFF"/>
                <w:sz w:val="18"/>
                <w:szCs w:val="18"/>
              </w:rPr>
              <w:t xml:space="preserve">Uso</w:t>
            </w:r>
          </w:p>
        </w:tc>
      </w:tr>
      <w:tr>
        <w:trPr>
          <w:cantSplit/>
        </w:trPr>
        <w:tc>
          <w:tcPr>
            <w:tcW w:w="1356" w:type="dxa"/>
          </w:tcPr>
          <w:p w14:paraId="2A000127">
            <w:pPr>
              <w:spacing w:after="0" w:before="0" w:line="240" w:lineRule="auto"/>
            </w:pPr>
            <w:r>
              <w:rPr>
                <w:rFonts w:ascii="Arial" w:cs="Arial" w:eastAsia="Arial" w:hAnsi="Arial"/>
                <w:sz w:val="18"/>
                <w:szCs w:val="18"/>
              </w:rPr>
              <w:t xml:space="preserve">Train</w:t>
            </w:r>
          </w:p>
        </w:tc>
        <w:tc>
          <w:tcPr>
            <w:tcW w:w="1259" w:type="dxa"/>
          </w:tcPr>
          <w:p w14:paraId="2A000128">
            <w:pPr>
              <w:spacing w:after="0" w:before="0" w:line="240" w:lineRule="auto"/>
            </w:pPr>
            <w:r>
              <w:rPr>
                <w:rFonts w:ascii="Arial" w:cs="Arial" w:eastAsia="Arial" w:hAnsi="Arial"/>
                <w:sz w:val="18"/>
                <w:szCs w:val="18"/>
              </w:rPr>
              <w:t xml:space="preserve">148 883</w:t>
            </w:r>
          </w:p>
        </w:tc>
        <w:tc>
          <w:tcPr>
            <w:tcW w:w="1162" w:type="dxa"/>
          </w:tcPr>
          <w:p w14:paraId="2A000129">
            <w:pPr>
              <w:spacing w:after="0" w:before="0" w:line="240" w:lineRule="auto"/>
            </w:pPr>
            <w:r>
              <w:rPr>
                <w:rFonts w:ascii="Arial" w:cs="Arial" w:eastAsia="Arial" w:hAnsi="Arial"/>
                <w:sz w:val="18"/>
                <w:szCs w:val="18"/>
              </w:rPr>
              <w:t xml:space="preserve">70 %</w:t>
            </w:r>
          </w:p>
        </w:tc>
        <w:tc>
          <w:tcPr>
            <w:tcW w:w="1259" w:type="dxa"/>
          </w:tcPr>
          <w:p w14:paraId="2A00012A">
            <w:pPr>
              <w:spacing w:after="0" w:before="0" w:line="240" w:lineRule="auto"/>
            </w:pPr>
            <w:r>
              <w:rPr>
                <w:rFonts w:ascii="Arial" w:cs="Arial" w:eastAsia="Arial" w:hAnsi="Arial"/>
                <w:sz w:val="18"/>
                <w:szCs w:val="18"/>
              </w:rPr>
              <w:t xml:space="preserve">23.27 %</w:t>
            </w:r>
          </w:p>
        </w:tc>
        <w:tc>
          <w:tcPr>
            <w:tcW w:w="4262" w:type="dxa"/>
          </w:tcPr>
          <w:p w14:paraId="2A00012B">
            <w:pPr>
              <w:spacing w:after="0" w:before="0" w:line="240" w:lineRule="auto"/>
            </w:pPr>
            <w:r>
              <w:rPr>
                <w:rFonts w:ascii="Arial" w:cs="Arial" w:eastAsia="Arial" w:hAnsi="Arial"/>
                <w:sz w:val="18"/>
                <w:szCs w:val="18"/>
              </w:rPr>
              <w:t xml:space="preserve">Ajuste de transformaciones y modelos; CV de 5 folds</w:t>
            </w:r>
          </w:p>
        </w:tc>
      </w:tr>
      <w:tr>
        <w:trPr>
          <w:cantSplit/>
        </w:trPr>
        <w:tc>
          <w:tcPr>
            <w:tcW w:w="1356" w:type="dxa"/>
          </w:tcPr>
          <w:p w14:paraId="2A00012C">
            <w:pPr>
              <w:spacing w:after="0" w:before="0" w:line="240" w:lineRule="auto"/>
            </w:pPr>
            <w:r>
              <w:rPr>
                <w:rFonts w:ascii="Arial" w:cs="Arial" w:eastAsia="Arial" w:hAnsi="Arial"/>
                <w:sz w:val="18"/>
                <w:szCs w:val="18"/>
              </w:rPr>
              <w:t xml:space="preserve">Validation</w:t>
            </w:r>
          </w:p>
        </w:tc>
        <w:tc>
          <w:tcPr>
            <w:tcW w:w="1259" w:type="dxa"/>
          </w:tcPr>
          <w:p w14:paraId="2A00012D">
            <w:pPr>
              <w:spacing w:after="0" w:before="0" w:line="240" w:lineRule="auto"/>
            </w:pPr>
            <w:r>
              <w:rPr>
                <w:rFonts w:ascii="Arial" w:cs="Arial" w:eastAsia="Arial" w:hAnsi="Arial"/>
                <w:sz w:val="18"/>
                <w:szCs w:val="18"/>
              </w:rPr>
              <w:t xml:space="preserve">31 904</w:t>
            </w:r>
          </w:p>
        </w:tc>
        <w:tc>
          <w:tcPr>
            <w:tcW w:w="1162" w:type="dxa"/>
          </w:tcPr>
          <w:p w14:paraId="2A00012E">
            <w:pPr>
              <w:spacing w:after="0" w:before="0" w:line="240" w:lineRule="auto"/>
            </w:pPr>
            <w:r>
              <w:rPr>
                <w:rFonts w:ascii="Arial" w:cs="Arial" w:eastAsia="Arial" w:hAnsi="Arial"/>
                <w:sz w:val="18"/>
                <w:szCs w:val="18"/>
              </w:rPr>
              <w:t xml:space="preserve">15 %</w:t>
            </w:r>
          </w:p>
        </w:tc>
        <w:tc>
          <w:tcPr>
            <w:tcW w:w="1259" w:type="dxa"/>
          </w:tcPr>
          <w:p w14:paraId="2A00012F">
            <w:pPr>
              <w:spacing w:after="0" w:before="0" w:line="240" w:lineRule="auto"/>
            </w:pPr>
            <w:r>
              <w:rPr>
                <w:rFonts w:ascii="Arial" w:cs="Arial" w:eastAsia="Arial" w:hAnsi="Arial"/>
                <w:sz w:val="18"/>
                <w:szCs w:val="18"/>
              </w:rPr>
              <w:t xml:space="preserve">23.27 %</w:t>
            </w:r>
          </w:p>
        </w:tc>
        <w:tc>
          <w:tcPr>
            <w:tcW w:w="4262" w:type="dxa"/>
          </w:tcPr>
          <w:p w14:paraId="2A000130">
            <w:pPr>
              <w:spacing w:after="0" w:before="0" w:line="240" w:lineRule="auto"/>
            </w:pPr>
            <w:r>
              <w:rPr>
                <w:rFonts w:ascii="Arial" w:cs="Arial" w:eastAsia="Arial" w:hAnsi="Arial"/>
                <w:sz w:val="18"/>
                <w:szCs w:val="18"/>
              </w:rPr>
              <w:t xml:space="preserve">Comparación y selección de modelos (TP1)</w:t>
            </w:r>
          </w:p>
        </w:tc>
      </w:tr>
      <w:tr>
        <w:trPr>
          <w:cantSplit/>
        </w:trPr>
        <w:tc>
          <w:tcPr>
            <w:tcW w:w="1356" w:type="dxa"/>
          </w:tcPr>
          <w:p w14:paraId="2A000131">
            <w:pPr>
              <w:spacing w:after="0" w:before="0" w:line="240" w:lineRule="auto"/>
            </w:pPr>
            <w:r>
              <w:rPr>
                <w:rFonts w:ascii="Arial" w:cs="Arial" w:eastAsia="Arial" w:hAnsi="Arial"/>
                <w:sz w:val="18"/>
                <w:szCs w:val="18"/>
              </w:rPr>
              <w:t xml:space="preserve">Test</w:t>
            </w:r>
          </w:p>
        </w:tc>
        <w:tc>
          <w:tcPr>
            <w:tcW w:w="1259" w:type="dxa"/>
          </w:tcPr>
          <w:p w14:paraId="2A000132">
            <w:pPr>
              <w:spacing w:after="0" w:before="0" w:line="240" w:lineRule="auto"/>
            </w:pPr>
            <w:r>
              <w:rPr>
                <w:rFonts w:ascii="Arial" w:cs="Arial" w:eastAsia="Arial" w:hAnsi="Arial"/>
                <w:sz w:val="18"/>
                <w:szCs w:val="18"/>
              </w:rPr>
              <w:t xml:space="preserve">31 904</w:t>
            </w:r>
          </w:p>
        </w:tc>
        <w:tc>
          <w:tcPr>
            <w:tcW w:w="1162" w:type="dxa"/>
          </w:tcPr>
          <w:p w14:paraId="2A000133">
            <w:pPr>
              <w:spacing w:after="0" w:before="0" w:line="240" w:lineRule="auto"/>
            </w:pPr>
            <w:r>
              <w:rPr>
                <w:rFonts w:ascii="Arial" w:cs="Arial" w:eastAsia="Arial" w:hAnsi="Arial"/>
                <w:sz w:val="18"/>
                <w:szCs w:val="18"/>
              </w:rPr>
              <w:t xml:space="preserve">15 %</w:t>
            </w:r>
          </w:p>
        </w:tc>
        <w:tc>
          <w:tcPr>
            <w:tcW w:w="1259" w:type="dxa"/>
          </w:tcPr>
          <w:p w14:paraId="2A000134">
            <w:pPr>
              <w:spacing w:after="0" w:before="0" w:line="240" w:lineRule="auto"/>
            </w:pPr>
            <w:r>
              <w:rPr>
                <w:rFonts w:ascii="Arial" w:cs="Arial" w:eastAsia="Arial" w:hAnsi="Arial"/>
                <w:sz w:val="18"/>
                <w:szCs w:val="18"/>
              </w:rPr>
              <w:t xml:space="preserve">23.27 %</w:t>
            </w:r>
          </w:p>
        </w:tc>
        <w:tc>
          <w:tcPr>
            <w:tcW w:w="4262" w:type="dxa"/>
          </w:tcPr>
          <w:p w14:paraId="2A000135">
            <w:pPr>
              <w:spacing w:after="0" w:before="0" w:line="240" w:lineRule="auto"/>
            </w:pPr>
            <w:r>
              <w:rPr>
                <w:rFonts w:ascii="Arial" w:cs="Arial" w:eastAsia="Arial" w:hAnsi="Arial"/>
                <w:sz w:val="18"/>
                <w:szCs w:val="18"/>
              </w:rPr>
              <w:t xml:space="preserve">Reservado: evaluación final única en el TF1</w:t>
            </w:r>
          </w:p>
        </w:tc>
      </w:tr>
    </w:tbl>
    <w:p w14:paraId="2A000136">
      <w:pPr>
        <w:spacing w:after="60" w:before="0" w:line="276" w:lineRule="auto"/>
        <w:jc w:val="both"/>
      </w:pPr>
    </w:p>
    <w:p w14:paraId="2A000137">
      <w:pPr>
        <w:keepNext/>
        <w:spacing w:after="160" w:before="240" w:lineRule="auto"/>
      </w:pPr>
      <w:r>
        <w:rPr>
          <w:b w:val="1"/>
          <w:bCs w:val="1"/>
          <w:sz w:val="32"/>
          <w:szCs w:val="32"/>
        </w:rPr>
        <w:t xml:space="preserve">5.3 Razón de dicha elección</w:t>
      </w:r>
    </w:p>
    <w:p w14:paraId="2A000138">
      <w:pPr>
        <w:spacing w:after="120" w:before="120" w:line="276" w:lineRule="auto"/>
        <w:jc w:val="both"/>
      </w:pPr>
      <w:r>
        <w:rPr>
          <w:rFonts w:ascii="Arial" w:cs="Arial" w:eastAsia="Arial" w:hAnsi="Arial"/>
          <w:sz w:val="24"/>
          <w:szCs w:val="24"/>
        </w:rPr>
        <w:t xml:space="preserve">Con más de 212 mil registros, un 15 % (≈ 32 mil pacientes) es suficiente para obtener estimaciones estables de las métricas. La estratificación garantiza que la proporción de malignos (23.3 %) sea idéntica en las tres partes. Al no existir dimensión temporal ni pacientes repetidos, una partición aleatoria es válida. Mantener un test intacto hasta el TF1 evita sobreajustar las decisiones al conjunto de evaluación final.</w:t>
      </w:r>
    </w:p>
    <w:p w14:paraId="2A000139">
      <w:pPr>
        <w:keepNext/>
        <w:spacing w:after="160" w:before="240" w:lineRule="auto"/>
      </w:pPr>
      <w:r>
        <w:rPr>
          <w:b w:val="1"/>
          <w:bCs w:val="1"/>
          <w:sz w:val="32"/>
          <w:szCs w:val="32"/>
        </w:rPr>
        <w:t xml:space="preserve">5.4 Medidas adoptadas para evitar data leakage</w:t>
      </w:r>
    </w:p>
    <w:p w14:paraId="2A00013A">
      <w:pPr>
        <w:spacing w:after="40" w:before="40" w:line="276" w:lineRule="auto"/>
        <w:ind w:left="567" w:hanging="283"/>
        <w:jc w:val="both"/>
      </w:pPr>
      <w:r>
        <w:rPr>
          <w:rFonts w:ascii="Arial" w:cs="Arial" w:eastAsia="Arial" w:hAnsi="Arial"/>
          <w:sz w:val="24"/>
          <w:szCs w:val="24"/>
        </w:rPr>
        <w:t xml:space="preserve">•  La separación se realiza </w:t>
      </w:r>
      <w:r>
        <w:rPr>
          <w:rFonts w:ascii="Arial" w:cs="Arial" w:eastAsia="Arial" w:hAnsi="Arial"/>
          <w:b w:val="1"/>
          <w:bCs w:val="1"/>
          <w:sz w:val="24"/>
          <w:szCs w:val="24"/>
        </w:rPr>
        <w:t xml:space="preserve">antes</w:t>
      </w:r>
      <w:r>
        <w:rPr>
          <w:rFonts w:ascii="Arial" w:cs="Arial" w:eastAsia="Arial" w:hAnsi="Arial"/>
          <w:sz w:val="24"/>
          <w:szCs w:val="24"/>
        </w:rPr>
        <w:t xml:space="preserve"> de cualquier transformación con parámetros.</w:t>
      </w:r>
    </w:p>
    <w:p w14:paraId="2A00013B">
      <w:pPr>
        <w:spacing w:after="40" w:before="40" w:line="276" w:lineRule="auto"/>
        <w:ind w:left="567" w:hanging="283"/>
        <w:jc w:val="both"/>
      </w:pPr>
      <w:r>
        <w:rPr>
          <w:rFonts w:ascii="Arial" w:cs="Arial" w:eastAsia="Arial" w:hAnsi="Arial"/>
          <w:sz w:val="24"/>
          <w:szCs w:val="24"/>
        </w:rPr>
        <w:t xml:space="preserve">•  Imputación, escalado y codificación están dentro de un </w:t>
      </w:r>
      <w:r>
        <w:rPr>
          <w:rFonts w:ascii="Arial" w:cs="Arial" w:eastAsia="Arial" w:hAnsi="Arial"/>
          <w:b w:val="1"/>
          <w:bCs w:val="1"/>
          <w:sz w:val="24"/>
          <w:szCs w:val="24"/>
        </w:rPr>
        <w:t xml:space="preserve">Pipeline</w:t>
      </w:r>
      <w:r>
        <w:rPr>
          <w:rFonts w:ascii="Arial" w:cs="Arial" w:eastAsia="Arial" w:hAnsi="Arial"/>
          <w:sz w:val="24"/>
          <w:szCs w:val="24"/>
        </w:rPr>
        <w:t xml:space="preserve"> y se ajustan solo con train (y dentro de cada fold durante la validación cruzada).</w:t>
      </w:r>
    </w:p>
    <w:p w14:paraId="2A00013C">
      <w:pPr>
        <w:spacing w:after="40" w:before="40" w:line="276" w:lineRule="auto"/>
        <w:ind w:left="567" w:hanging="283"/>
        <w:jc w:val="both"/>
      </w:pPr>
      <w:r>
        <w:rPr>
          <w:rFonts w:ascii="Arial" w:cs="Arial" w:eastAsia="Arial" w:hAnsi="Arial"/>
          <w:sz w:val="24"/>
          <w:szCs w:val="24"/>
        </w:rPr>
        <w:t xml:space="preserve">•  Se excluye Thyroid_Cancer_Risk, cuyo origen es desconocido y que está fuertemente asociado al diagnóstico.</w:t>
      </w:r>
    </w:p>
    <w:p w14:paraId="2A00013D">
      <w:pPr>
        <w:spacing w:after="40" w:before="40" w:line="276" w:lineRule="auto"/>
        <w:ind w:left="567" w:hanging="283"/>
        <w:jc w:val="both"/>
      </w:pPr>
      <w:r>
        <w:rPr>
          <w:rFonts w:ascii="Arial" w:cs="Arial" w:eastAsia="Arial" w:hAnsi="Arial"/>
          <w:sz w:val="24"/>
          <w:szCs w:val="24"/>
        </w:rPr>
        <w:t xml:space="preserve">•  El conjunto de </w:t>
      </w:r>
      <w:r>
        <w:rPr>
          <w:rFonts w:ascii="Arial" w:cs="Arial" w:eastAsia="Arial" w:hAnsi="Arial"/>
          <w:b w:val="1"/>
          <w:bCs w:val="1"/>
          <w:sz w:val="24"/>
          <w:szCs w:val="24"/>
        </w:rPr>
        <w:t xml:space="preserve">test no se utiliza en el TP1</w:t>
      </w:r>
      <w:r>
        <w:rPr>
          <w:rFonts w:ascii="Arial" w:cs="Arial" w:eastAsia="Arial" w:hAnsi="Arial"/>
          <w:sz w:val="24"/>
          <w:szCs w:val="24"/>
        </w:rPr>
        <w:t xml:space="preserve">: la comparación de modelos se hace solo con validation.</w:t>
      </w:r>
    </w:p>
    <w:p w14:paraId="2A00013E">
      <w:pPr>
        <w:spacing w:after="240" w:before="240" w:lineRule="auto"/>
      </w:pPr>
      <w:r>
        <w:br w:type="page"/>
      </w:r>
      <w:r>
        <w:rPr>
          <w:b w:val="1"/>
          <w:bCs w:val="1"/>
          <w:sz w:val="36"/>
          <w:szCs w:val="36"/>
        </w:rPr>
        <w:t xml:space="preserve">6. Flujo Reproducible de Preprocesamiento</w:t>
      </w:r>
    </w:p>
    <w:p w14:paraId="2A00013F">
      <w:pPr>
        <w:spacing w:after="120" w:before="120" w:line="276" w:lineRule="auto"/>
        <w:jc w:val="both"/>
      </w:pPr>
      <w:r>
        <w:rPr>
          <w:rFonts w:ascii="Arial" w:cs="Arial" w:eastAsia="Arial" w:hAnsi="Arial"/>
          <w:sz w:val="24"/>
          <w:szCs w:val="24"/>
        </w:rPr>
        <w:t xml:space="preserve">El preprocesamiento se implementó con </w:t>
      </w:r>
      <w:r>
        <w:rPr>
          <w:rFonts w:ascii="Arial" w:cs="Arial" w:eastAsia="Arial" w:hAnsi="Arial"/>
          <w:b w:val="1"/>
          <w:bCs w:val="1"/>
          <w:sz w:val="24"/>
          <w:szCs w:val="24"/>
        </w:rPr>
        <w:t xml:space="preserve">Pipeline</w:t>
      </w:r>
      <w:r>
        <w:rPr>
          <w:rFonts w:ascii="Arial" w:cs="Arial" w:eastAsia="Arial" w:hAnsi="Arial"/>
          <w:sz w:val="24"/>
          <w:szCs w:val="24"/>
        </w:rPr>
        <w:t xml:space="preserve"> y </w:t>
      </w:r>
      <w:r>
        <w:rPr>
          <w:rFonts w:ascii="Arial" w:cs="Arial" w:eastAsia="Arial" w:hAnsi="Arial"/>
          <w:b w:val="1"/>
          <w:bCs w:val="1"/>
          <w:sz w:val="24"/>
          <w:szCs w:val="24"/>
        </w:rPr>
        <w:t xml:space="preserve">ColumnTransformer</w:t>
      </w:r>
      <w:r>
        <w:rPr>
          <w:rFonts w:ascii="Arial" w:cs="Arial" w:eastAsia="Arial" w:hAnsi="Arial"/>
          <w:sz w:val="24"/>
          <w:szCs w:val="24"/>
        </w:rPr>
        <w:t xml:space="preserve"> de scikit-learn (src/features.py). Cada modelo es un Pipeline completo «preprocesamiento + estimador», de modo que al llamar a fit() con train las transformaciones se ajustan únicamente con esos datos y se aplican igual en validation, test y en el uso futuro del modelo.</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1518"/>
        <w:gridCol w:w="3227"/>
        <w:gridCol w:w="3227"/>
        <w:gridCol w:w="1329"/>
      </w:tblGrid>
      <w:tr>
        <w:trPr>
          <w:tblHeader/>
          <w:cantSplit/>
        </w:trPr>
        <w:tc>
          <w:tcPr>
            <w:tcW w:w="1518" w:type="dxa"/>
            <w:shd w:val="clear" w:color="auto" w:fill="1F3864"/>
          </w:tcPr>
          <w:p w14:paraId="2A000140">
            <w:pPr>
              <w:spacing w:after="0" w:before="0" w:line="240" w:lineRule="auto"/>
            </w:pPr>
            <w:r>
              <w:rPr>
                <w:rFonts w:ascii="Arial" w:cs="Arial" w:eastAsia="Arial" w:hAnsi="Arial"/>
                <w:b w:val="1"/>
                <w:bCs w:val="1"/>
                <w:color w:val="FFFFFF"/>
                <w:sz w:val="18"/>
                <w:szCs w:val="18"/>
              </w:rPr>
              <w:t xml:space="preserve">Tipo de variable</w:t>
            </w:r>
          </w:p>
        </w:tc>
        <w:tc>
          <w:tcPr>
            <w:tcW w:w="3227" w:type="dxa"/>
            <w:shd w:val="clear" w:color="auto" w:fill="1F3864"/>
          </w:tcPr>
          <w:p w14:paraId="2A000141">
            <w:pPr>
              <w:spacing w:after="0" w:before="0" w:line="240" w:lineRule="auto"/>
            </w:pPr>
            <w:r>
              <w:rPr>
                <w:rFonts w:ascii="Arial" w:cs="Arial" w:eastAsia="Arial" w:hAnsi="Arial"/>
                <w:b w:val="1"/>
                <w:bCs w:val="1"/>
                <w:color w:val="FFFFFF"/>
                <w:sz w:val="18"/>
                <w:szCs w:val="18"/>
              </w:rPr>
              <w:t xml:space="preserve">Columnas</w:t>
            </w:r>
          </w:p>
        </w:tc>
        <w:tc>
          <w:tcPr>
            <w:tcW w:w="3227" w:type="dxa"/>
            <w:shd w:val="clear" w:color="auto" w:fill="1F3864"/>
          </w:tcPr>
          <w:p w14:paraId="2A000142">
            <w:pPr>
              <w:spacing w:after="0" w:before="0" w:line="240" w:lineRule="auto"/>
            </w:pPr>
            <w:r>
              <w:rPr>
                <w:rFonts w:ascii="Arial" w:cs="Arial" w:eastAsia="Arial" w:hAnsi="Arial"/>
                <w:b w:val="1"/>
                <w:bCs w:val="1"/>
                <w:color w:val="FFFFFF"/>
                <w:sz w:val="18"/>
                <w:szCs w:val="18"/>
              </w:rPr>
              <w:t xml:space="preserve">Transformaciones</w:t>
            </w:r>
          </w:p>
        </w:tc>
        <w:tc>
          <w:tcPr>
            <w:tcW w:w="1329" w:type="dxa"/>
            <w:shd w:val="clear" w:color="auto" w:fill="1F3864"/>
          </w:tcPr>
          <w:p w14:paraId="2A000143">
            <w:pPr>
              <w:spacing w:after="0" w:before="0" w:line="240" w:lineRule="auto"/>
            </w:pPr>
            <w:r>
              <w:rPr>
                <w:rFonts w:ascii="Arial" w:cs="Arial" w:eastAsia="Arial" w:hAnsi="Arial"/>
                <w:b w:val="1"/>
                <w:bCs w:val="1"/>
                <w:color w:val="FFFFFF"/>
                <w:sz w:val="18"/>
                <w:szCs w:val="18"/>
              </w:rPr>
              <w:t xml:space="preserve">Momento de ajuste</w:t>
            </w:r>
          </w:p>
        </w:tc>
      </w:tr>
      <w:tr>
        <w:trPr>
          <w:cantSplit/>
        </w:trPr>
        <w:tc>
          <w:tcPr>
            <w:tcW w:w="1518" w:type="dxa"/>
          </w:tcPr>
          <w:p w14:paraId="2A000144">
            <w:pPr>
              <w:spacing w:after="0" w:before="0" w:line="240" w:lineRule="auto"/>
            </w:pPr>
            <w:r>
              <w:rPr>
                <w:rFonts w:ascii="Arial" w:cs="Arial" w:eastAsia="Arial" w:hAnsi="Arial"/>
                <w:sz w:val="18"/>
                <w:szCs w:val="18"/>
              </w:rPr>
              <w:t xml:space="preserve">Numéricas</w:t>
            </w:r>
          </w:p>
        </w:tc>
        <w:tc>
          <w:tcPr>
            <w:tcW w:w="3227" w:type="dxa"/>
          </w:tcPr>
          <w:p w14:paraId="2A000145">
            <w:pPr>
              <w:spacing w:after="0" w:before="0" w:line="240" w:lineRule="auto"/>
            </w:pPr>
            <w:r>
              <w:rPr>
                <w:rFonts w:ascii="Arial" w:cs="Arial" w:eastAsia="Arial" w:hAnsi="Arial"/>
                <w:sz w:val="18"/>
                <w:szCs w:val="18"/>
              </w:rPr>
              <w:t xml:space="preserve">Age, TSH_Level, T3_Level, T4_Level, Nodule_Size</w:t>
            </w:r>
          </w:p>
        </w:tc>
        <w:tc>
          <w:tcPr>
            <w:tcW w:w="3227" w:type="dxa"/>
          </w:tcPr>
          <w:p w14:paraId="2A000146">
            <w:pPr>
              <w:spacing w:after="0" w:before="0" w:line="240" w:lineRule="auto"/>
            </w:pPr>
            <w:r>
              <w:rPr>
                <w:rFonts w:ascii="Arial" w:cs="Arial" w:eastAsia="Arial" w:hAnsi="Arial"/>
                <w:sz w:val="18"/>
                <w:szCs w:val="18"/>
              </w:rPr>
              <w:t xml:space="preserve">SimpleImputer(median) → StandardScaler (solo Regresión Logística)</w:t>
            </w:r>
          </w:p>
        </w:tc>
        <w:tc>
          <w:tcPr>
            <w:tcW w:w="1329" w:type="dxa"/>
          </w:tcPr>
          <w:p w14:paraId="2A000147">
            <w:pPr>
              <w:spacing w:after="0" w:before="0" w:line="240" w:lineRule="auto"/>
            </w:pPr>
            <w:r>
              <w:rPr>
                <w:rFonts w:ascii="Arial" w:cs="Arial" w:eastAsia="Arial" w:hAnsi="Arial"/>
                <w:sz w:val="18"/>
                <w:szCs w:val="18"/>
              </w:rPr>
              <w:t xml:space="preserve">fit() sobre train</w:t>
            </w:r>
          </w:p>
        </w:tc>
      </w:tr>
      <w:tr>
        <w:trPr>
          <w:cantSplit/>
        </w:trPr>
        <w:tc>
          <w:tcPr>
            <w:tcW w:w="1518" w:type="dxa"/>
          </w:tcPr>
          <w:p w14:paraId="2A000148">
            <w:pPr>
              <w:spacing w:after="0" w:before="0" w:line="240" w:lineRule="auto"/>
            </w:pPr>
            <w:r>
              <w:rPr>
                <w:rFonts w:ascii="Arial" w:cs="Arial" w:eastAsia="Arial" w:hAnsi="Arial"/>
                <w:sz w:val="18"/>
                <w:szCs w:val="18"/>
              </w:rPr>
              <w:t xml:space="preserve">Categóricas</w:t>
            </w:r>
          </w:p>
        </w:tc>
        <w:tc>
          <w:tcPr>
            <w:tcW w:w="3227" w:type="dxa"/>
          </w:tcPr>
          <w:p w14:paraId="2A000149">
            <w:pPr>
              <w:spacing w:after="0" w:before="0" w:line="240" w:lineRule="auto"/>
            </w:pPr>
            <w:r>
              <w:rPr>
                <w:rFonts w:ascii="Arial" w:cs="Arial" w:eastAsia="Arial" w:hAnsi="Arial"/>
                <w:sz w:val="18"/>
                <w:szCs w:val="18"/>
              </w:rPr>
              <w:t xml:space="preserve">Gender, Family_History, Radiation_Exposure, Iodine_Deficiency, Smoking, Obesity, Diabetes, Country, Ethnicity</w:t>
            </w:r>
          </w:p>
        </w:tc>
        <w:tc>
          <w:tcPr>
            <w:tcW w:w="3227" w:type="dxa"/>
          </w:tcPr>
          <w:p w14:paraId="2A00014A">
            <w:pPr>
              <w:spacing w:after="0" w:before="0" w:line="240" w:lineRule="auto"/>
            </w:pPr>
            <w:r>
              <w:rPr>
                <w:rFonts w:ascii="Arial" w:cs="Arial" w:eastAsia="Arial" w:hAnsi="Arial"/>
                <w:sz w:val="18"/>
                <w:szCs w:val="18"/>
              </w:rPr>
              <w:t xml:space="preserve">SimpleImputer(most_frequent) → OneHotEncoder(drop='if_binary', handle_unknown='ignore')</w:t>
            </w:r>
          </w:p>
        </w:tc>
        <w:tc>
          <w:tcPr>
            <w:tcW w:w="1329" w:type="dxa"/>
          </w:tcPr>
          <w:p w14:paraId="2A00014B">
            <w:pPr>
              <w:spacing w:after="0" w:before="0" w:line="240" w:lineRule="auto"/>
            </w:pPr>
            <w:r>
              <w:rPr>
                <w:rFonts w:ascii="Arial" w:cs="Arial" w:eastAsia="Arial" w:hAnsi="Arial"/>
                <w:sz w:val="18"/>
                <w:szCs w:val="18"/>
              </w:rPr>
              <w:t xml:space="preserve">fit() sobre train</w:t>
            </w:r>
          </w:p>
        </w:tc>
      </w:tr>
      <w:tr>
        <w:trPr>
          <w:cantSplit/>
        </w:trPr>
        <w:tc>
          <w:tcPr>
            <w:tcW w:w="1518" w:type="dxa"/>
          </w:tcPr>
          <w:p w14:paraId="2A00014C">
            <w:pPr>
              <w:spacing w:after="0" w:before="0" w:line="240" w:lineRule="auto"/>
            </w:pPr>
            <w:r>
              <w:rPr>
                <w:rFonts w:ascii="Arial" w:cs="Arial" w:eastAsia="Arial" w:hAnsi="Arial"/>
                <w:sz w:val="18"/>
                <w:szCs w:val="18"/>
              </w:rPr>
              <w:t xml:space="preserve">Excluidas</w:t>
            </w:r>
          </w:p>
        </w:tc>
        <w:tc>
          <w:tcPr>
            <w:tcW w:w="3227" w:type="dxa"/>
          </w:tcPr>
          <w:p w14:paraId="2A00014D">
            <w:pPr>
              <w:spacing w:after="0" w:before="0" w:line="240" w:lineRule="auto"/>
            </w:pPr>
            <w:r>
              <w:rPr>
                <w:rFonts w:ascii="Arial" w:cs="Arial" w:eastAsia="Arial" w:hAnsi="Arial"/>
                <w:sz w:val="18"/>
                <w:szCs w:val="18"/>
              </w:rPr>
              <w:t xml:space="preserve">Patient_ID, Thyroid_Cancer_Risk</w:t>
            </w:r>
          </w:p>
        </w:tc>
        <w:tc>
          <w:tcPr>
            <w:tcW w:w="3227" w:type="dxa"/>
          </w:tcPr>
          <w:p w14:paraId="2A00014E">
            <w:pPr>
              <w:spacing w:after="0" w:before="0" w:line="240" w:lineRule="auto"/>
            </w:pPr>
            <w:r>
              <w:rPr>
                <w:rFonts w:ascii="Arial" w:cs="Arial" w:eastAsia="Arial" w:hAnsi="Arial"/>
                <w:sz w:val="18"/>
                <w:szCs w:val="18"/>
              </w:rPr>
              <w:t xml:space="preserve">remainder='drop'</w:t>
            </w:r>
          </w:p>
        </w:tc>
        <w:tc>
          <w:tcPr>
            <w:tcW w:w="1329" w:type="dxa"/>
          </w:tcPr>
          <w:p w14:paraId="2A00014F">
            <w:pPr>
              <w:spacing w:after="0" w:before="0" w:line="240" w:lineRule="auto"/>
            </w:pPr>
            <w:r>
              <w:rPr>
                <w:rFonts w:ascii="Arial" w:cs="Arial" w:eastAsia="Arial" w:hAnsi="Arial"/>
                <w:sz w:val="18"/>
                <w:szCs w:val="18"/>
              </w:rPr>
              <w:t xml:space="preserve">—</w:t>
            </w:r>
          </w:p>
        </w:tc>
      </w:tr>
    </w:tbl>
    <w:p w14:paraId="2A000150">
      <w:pPr>
        <w:spacing w:after="60" w:before="0" w:line="276" w:lineRule="auto"/>
        <w:jc w:val="both"/>
      </w:pPr>
    </w:p>
    <w:p w14:paraId="2A000151">
      <w:pPr>
        <w:spacing w:after="120" w:before="120" w:line="276" w:lineRule="auto"/>
        <w:jc w:val="both"/>
      </w:pPr>
      <w:r>
        <w:rPr>
          <w:rFonts w:ascii="Arial" w:cs="Arial" w:eastAsia="Arial" w:hAnsi="Arial"/>
          <w:sz w:val="24"/>
          <w:szCs w:val="24"/>
        </w:rPr>
        <w:t xml:space="preserve">El repositorio está organizado en carpetas data/, notebooks/, src/, models/ y reports/. Todo el flujo puede reproducirse con «pip install -r requirements.txt» y «python -m src.train», o ejecutando el notebook 01_TP1_thyroid.ipynb. Los modelos entrenados se guardan en models/ como archivos .joblib.</w:t>
      </w:r>
    </w:p>
    <w:p w14:paraId="2A000152">
      <w:pPr>
        <w:keepNext/>
        <w:spacing w:after="160" w:before="240" w:lineRule="auto"/>
      </w:pPr>
      <w:r>
        <w:rPr>
          <w:b w:val="1"/>
          <w:bCs w:val="1"/>
          <w:sz w:val="32"/>
          <w:szCs w:val="32"/>
        </w:rPr>
        <w:t xml:space="preserve">6.1 Matriz de decisiones de herramientas</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1409"/>
        <w:gridCol w:w="2255"/>
        <w:gridCol w:w="1879"/>
        <w:gridCol w:w="3758"/>
      </w:tblGrid>
      <w:tr>
        <w:trPr>
          <w:tblHeader/>
          <w:cantSplit/>
        </w:trPr>
        <w:tc>
          <w:tcPr>
            <w:tcW w:w="1409" w:type="dxa"/>
            <w:shd w:val="clear" w:color="auto" w:fill="1F3864"/>
          </w:tcPr>
          <w:p w14:paraId="2A000153">
            <w:pPr>
              <w:spacing w:after="0" w:before="0" w:line="240" w:lineRule="auto"/>
            </w:pPr>
            <w:r>
              <w:rPr>
                <w:rFonts w:ascii="Arial" w:cs="Arial" w:eastAsia="Arial" w:hAnsi="Arial"/>
                <w:b w:val="1"/>
                <w:bCs w:val="1"/>
                <w:color w:val="FFFFFF"/>
                <w:sz w:val="18"/>
                <w:szCs w:val="18"/>
              </w:rPr>
              <w:t xml:space="preserve">Necesidad</w:t>
            </w:r>
          </w:p>
        </w:tc>
        <w:tc>
          <w:tcPr>
            <w:tcW w:w="2255" w:type="dxa"/>
            <w:shd w:val="clear" w:color="auto" w:fill="1F3864"/>
          </w:tcPr>
          <w:p w14:paraId="2A000154">
            <w:pPr>
              <w:spacing w:after="0" w:before="0" w:line="240" w:lineRule="auto"/>
            </w:pPr>
            <w:r>
              <w:rPr>
                <w:rFonts w:ascii="Arial" w:cs="Arial" w:eastAsia="Arial" w:hAnsi="Arial"/>
                <w:b w:val="1"/>
                <w:bCs w:val="1"/>
                <w:color w:val="FFFFFF"/>
                <w:sz w:val="18"/>
                <w:szCs w:val="18"/>
              </w:rPr>
              <w:t xml:space="preserve">Herramienta elegida</w:t>
            </w:r>
          </w:p>
        </w:tc>
        <w:tc>
          <w:tcPr>
            <w:tcW w:w="1879" w:type="dxa"/>
            <w:shd w:val="clear" w:color="auto" w:fill="1F3864"/>
          </w:tcPr>
          <w:p w14:paraId="2A000155">
            <w:pPr>
              <w:spacing w:after="0" w:before="0" w:line="240" w:lineRule="auto"/>
            </w:pPr>
            <w:r>
              <w:rPr>
                <w:rFonts w:ascii="Arial" w:cs="Arial" w:eastAsia="Arial" w:hAnsi="Arial"/>
                <w:b w:val="1"/>
                <w:bCs w:val="1"/>
                <w:color w:val="FFFFFF"/>
                <w:sz w:val="18"/>
                <w:szCs w:val="18"/>
              </w:rPr>
              <w:t xml:space="preserve">Alternativa considerada</w:t>
            </w:r>
          </w:p>
        </w:tc>
        <w:tc>
          <w:tcPr>
            <w:tcW w:w="3758" w:type="dxa"/>
            <w:shd w:val="clear" w:color="auto" w:fill="1F3864"/>
          </w:tcPr>
          <w:p w14:paraId="2A000156">
            <w:pPr>
              <w:spacing w:after="0" w:before="0" w:line="240" w:lineRule="auto"/>
            </w:pPr>
            <w:r>
              <w:rPr>
                <w:rFonts w:ascii="Arial" w:cs="Arial" w:eastAsia="Arial" w:hAnsi="Arial"/>
                <w:b w:val="1"/>
                <w:bCs w:val="1"/>
                <w:color w:val="FFFFFF"/>
                <w:sz w:val="18"/>
                <w:szCs w:val="18"/>
              </w:rPr>
              <w:t xml:space="preserve">Justificación</w:t>
            </w:r>
          </w:p>
        </w:tc>
      </w:tr>
      <w:tr>
        <w:trPr>
          <w:cantSplit/>
        </w:trPr>
        <w:tc>
          <w:tcPr>
            <w:tcW w:w="1409" w:type="dxa"/>
          </w:tcPr>
          <w:p w14:paraId="2A000157">
            <w:pPr>
              <w:spacing w:after="0" w:before="0" w:line="240" w:lineRule="auto"/>
            </w:pPr>
            <w:r>
              <w:rPr>
                <w:rFonts w:ascii="Arial" w:cs="Arial" w:eastAsia="Arial" w:hAnsi="Arial"/>
                <w:sz w:val="18"/>
                <w:szCs w:val="18"/>
              </w:rPr>
              <w:t xml:space="preserve">EDA</w:t>
            </w:r>
          </w:p>
        </w:tc>
        <w:tc>
          <w:tcPr>
            <w:tcW w:w="2255" w:type="dxa"/>
          </w:tcPr>
          <w:p w14:paraId="2A000158">
            <w:pPr>
              <w:spacing w:after="0" w:before="0" w:line="240" w:lineRule="auto"/>
            </w:pPr>
            <w:r>
              <w:rPr>
                <w:rFonts w:ascii="Arial" w:cs="Arial" w:eastAsia="Arial" w:hAnsi="Arial"/>
                <w:sz w:val="18"/>
                <w:szCs w:val="18"/>
              </w:rPr>
              <w:t xml:space="preserve">pandas, matplotlib, seaborn, scipy</w:t>
            </w:r>
          </w:p>
        </w:tc>
        <w:tc>
          <w:tcPr>
            <w:tcW w:w="1879" w:type="dxa"/>
          </w:tcPr>
          <w:p w14:paraId="2A000159">
            <w:pPr>
              <w:spacing w:after="0" w:before="0" w:line="240" w:lineRule="auto"/>
            </w:pPr>
            <w:r>
              <w:rPr>
                <w:rFonts w:ascii="Arial" w:cs="Arial" w:eastAsia="Arial" w:hAnsi="Arial"/>
                <w:sz w:val="18"/>
                <w:szCs w:val="18"/>
              </w:rPr>
              <w:t xml:space="preserve">ydata-profiling</w:t>
            </w:r>
          </w:p>
        </w:tc>
        <w:tc>
          <w:tcPr>
            <w:tcW w:w="3758" w:type="dxa"/>
          </w:tcPr>
          <w:p w14:paraId="2A00015A">
            <w:pPr>
              <w:spacing w:after="0" w:before="0" w:line="240" w:lineRule="auto"/>
            </w:pPr>
            <w:r>
              <w:rPr>
                <w:rFonts w:ascii="Arial" w:cs="Arial" w:eastAsia="Arial" w:hAnsi="Arial"/>
                <w:sz w:val="18"/>
                <w:szCs w:val="18"/>
              </w:rPr>
              <w:t xml:space="preserve">Gráficos orientados a preguntas y pruebas estadísticas (χ², Mann-Whitney, V de Cramér) en lugar de un reporte automático.</w:t>
            </w:r>
          </w:p>
        </w:tc>
      </w:tr>
      <w:tr>
        <w:trPr>
          <w:cantSplit/>
        </w:trPr>
        <w:tc>
          <w:tcPr>
            <w:tcW w:w="1409" w:type="dxa"/>
          </w:tcPr>
          <w:p w14:paraId="2A00015B">
            <w:pPr>
              <w:spacing w:after="0" w:before="0" w:line="240" w:lineRule="auto"/>
            </w:pPr>
            <w:r>
              <w:rPr>
                <w:rFonts w:ascii="Arial" w:cs="Arial" w:eastAsia="Arial" w:hAnsi="Arial"/>
                <w:sz w:val="18"/>
                <w:szCs w:val="18"/>
              </w:rPr>
              <w:t xml:space="preserve">Preparación</w:t>
            </w:r>
          </w:p>
        </w:tc>
        <w:tc>
          <w:tcPr>
            <w:tcW w:w="2255" w:type="dxa"/>
          </w:tcPr>
          <w:p w14:paraId="2A00015C">
            <w:pPr>
              <w:spacing w:after="0" w:before="0" w:line="240" w:lineRule="auto"/>
            </w:pPr>
            <w:r>
              <w:rPr>
                <w:rFonts w:ascii="Arial" w:cs="Arial" w:eastAsia="Arial" w:hAnsi="Arial"/>
                <w:sz w:val="18"/>
                <w:szCs w:val="18"/>
              </w:rPr>
              <w:t xml:space="preserve">Pipeline + ColumnTransformer</w:t>
            </w:r>
          </w:p>
        </w:tc>
        <w:tc>
          <w:tcPr>
            <w:tcW w:w="1879" w:type="dxa"/>
          </w:tcPr>
          <w:p w14:paraId="2A00015D">
            <w:pPr>
              <w:spacing w:after="0" w:before="0" w:line="240" w:lineRule="auto"/>
            </w:pPr>
            <w:r>
              <w:rPr>
                <w:rFonts w:ascii="Arial" w:cs="Arial" w:eastAsia="Arial" w:hAnsi="Arial"/>
                <w:sz w:val="18"/>
                <w:szCs w:val="18"/>
              </w:rPr>
              <w:t xml:space="preserve">Transformaciones manuales en pandas</w:t>
            </w:r>
          </w:p>
        </w:tc>
        <w:tc>
          <w:tcPr>
            <w:tcW w:w="3758" w:type="dxa"/>
          </w:tcPr>
          <w:p w14:paraId="2A00015E">
            <w:pPr>
              <w:spacing w:after="0" w:before="0" w:line="240" w:lineRule="auto"/>
            </w:pPr>
            <w:r>
              <w:rPr>
                <w:rFonts w:ascii="Arial" w:cs="Arial" w:eastAsia="Arial" w:hAnsi="Arial"/>
                <w:sz w:val="18"/>
                <w:szCs w:val="18"/>
              </w:rPr>
              <w:t xml:space="preserve">Evita fuga de información y permite reutilizar el mismo flujo en inferencia.</w:t>
            </w:r>
          </w:p>
        </w:tc>
      </w:tr>
      <w:tr>
        <w:trPr>
          <w:cantSplit/>
        </w:trPr>
        <w:tc>
          <w:tcPr>
            <w:tcW w:w="1409" w:type="dxa"/>
          </w:tcPr>
          <w:p w14:paraId="2A00015F">
            <w:pPr>
              <w:spacing w:after="0" w:before="0" w:line="240" w:lineRule="auto"/>
            </w:pPr>
            <w:r>
              <w:rPr>
                <w:rFonts w:ascii="Arial" w:cs="Arial" w:eastAsia="Arial" w:hAnsi="Arial"/>
                <w:sz w:val="18"/>
                <w:szCs w:val="18"/>
              </w:rPr>
              <w:t xml:space="preserve">Modelamiento</w:t>
            </w:r>
          </w:p>
        </w:tc>
        <w:tc>
          <w:tcPr>
            <w:tcW w:w="2255" w:type="dxa"/>
          </w:tcPr>
          <w:p w14:paraId="2A000160">
            <w:pPr>
              <w:spacing w:after="0" w:before="0" w:line="240" w:lineRule="auto"/>
            </w:pPr>
            <w:r>
              <w:rPr>
                <w:rFonts w:ascii="Arial" w:cs="Arial" w:eastAsia="Arial" w:hAnsi="Arial"/>
                <w:sz w:val="18"/>
                <w:szCs w:val="18"/>
              </w:rPr>
              <w:t xml:space="preserve">Regresión Logística, Random Forest, HistGradientBoosting</w:t>
            </w:r>
          </w:p>
        </w:tc>
        <w:tc>
          <w:tcPr>
            <w:tcW w:w="1879" w:type="dxa"/>
          </w:tcPr>
          <w:p w14:paraId="2A000161">
            <w:pPr>
              <w:spacing w:after="0" w:before="0" w:line="240" w:lineRule="auto"/>
            </w:pPr>
            <w:r>
              <w:rPr>
                <w:rFonts w:ascii="Arial" w:cs="Arial" w:eastAsia="Arial" w:hAnsi="Arial"/>
                <w:sz w:val="18"/>
                <w:szCs w:val="18"/>
              </w:rPr>
              <w:t xml:space="preserve">XGBoost / LightGBM</w:t>
            </w:r>
          </w:p>
        </w:tc>
        <w:tc>
          <w:tcPr>
            <w:tcW w:w="3758" w:type="dxa"/>
          </w:tcPr>
          <w:p w14:paraId="2A000162">
            <w:pPr>
              <w:spacing w:after="0" w:before="0" w:line="240" w:lineRule="auto"/>
            </w:pPr>
            <w:r>
              <w:rPr>
                <w:rFonts w:ascii="Arial" w:cs="Arial" w:eastAsia="Arial" w:hAnsi="Arial"/>
                <w:sz w:val="18"/>
                <w:szCs w:val="18"/>
              </w:rPr>
              <w:t xml:space="preserve">HGB ofrece boosting eficiente sin dependencias adicionales; LR aporta interpretabilidad.</w:t>
            </w:r>
          </w:p>
        </w:tc>
      </w:tr>
      <w:tr>
        <w:trPr>
          <w:cantSplit/>
        </w:trPr>
        <w:tc>
          <w:tcPr>
            <w:tcW w:w="1409" w:type="dxa"/>
          </w:tcPr>
          <w:p w14:paraId="2A000163">
            <w:pPr>
              <w:spacing w:after="0" w:before="0" w:line="240" w:lineRule="auto"/>
            </w:pPr>
            <w:r>
              <w:rPr>
                <w:rFonts w:ascii="Arial" w:cs="Arial" w:eastAsia="Arial" w:hAnsi="Arial"/>
                <w:sz w:val="18"/>
                <w:szCs w:val="18"/>
              </w:rPr>
              <w:t xml:space="preserve">Experimentación</w:t>
            </w:r>
          </w:p>
        </w:tc>
        <w:tc>
          <w:tcPr>
            <w:tcW w:w="2255" w:type="dxa"/>
          </w:tcPr>
          <w:p w14:paraId="2A000164">
            <w:pPr>
              <w:spacing w:after="0" w:before="0" w:line="240" w:lineRule="auto"/>
            </w:pPr>
            <w:r>
              <w:rPr>
                <w:rFonts w:ascii="Arial" w:cs="Arial" w:eastAsia="Arial" w:hAnsi="Arial"/>
                <w:sz w:val="18"/>
                <w:szCs w:val="18"/>
              </w:rPr>
              <w:t xml:space="preserve">StratifiedKFold (TP1); Optuna + MLflow (TF1)</w:t>
            </w:r>
          </w:p>
        </w:tc>
        <w:tc>
          <w:tcPr>
            <w:tcW w:w="1879" w:type="dxa"/>
          </w:tcPr>
          <w:p w14:paraId="2A000165">
            <w:pPr>
              <w:spacing w:after="0" w:before="0" w:line="240" w:lineRule="auto"/>
            </w:pPr>
            <w:r>
              <w:rPr>
                <w:rFonts w:ascii="Arial" w:cs="Arial" w:eastAsia="Arial" w:hAnsi="Arial"/>
                <w:sz w:val="18"/>
                <w:szCs w:val="18"/>
              </w:rPr>
              <w:t xml:space="preserve">GridSearchCV</w:t>
            </w:r>
          </w:p>
        </w:tc>
        <w:tc>
          <w:tcPr>
            <w:tcW w:w="3758" w:type="dxa"/>
          </w:tcPr>
          <w:p w14:paraId="2A000166">
            <w:pPr>
              <w:spacing w:after="0" w:before="0" w:line="240" w:lineRule="auto"/>
            </w:pPr>
            <w:r>
              <w:rPr>
                <w:rFonts w:ascii="Arial" w:cs="Arial" w:eastAsia="Arial" w:hAnsi="Arial"/>
                <w:sz w:val="18"/>
                <w:szCs w:val="18"/>
              </w:rPr>
              <w:t xml:space="preserve">Optuna explora el espacio de hiperparámetros de forma más eficiente; MLflow registra cada configuración.</w:t>
            </w:r>
          </w:p>
        </w:tc>
      </w:tr>
      <w:tr>
        <w:trPr>
          <w:cantSplit/>
        </w:trPr>
        <w:tc>
          <w:tcPr>
            <w:tcW w:w="1409" w:type="dxa"/>
          </w:tcPr>
          <w:p w14:paraId="2A000167">
            <w:pPr>
              <w:spacing w:after="0" w:before="0" w:line="240" w:lineRule="auto"/>
            </w:pPr>
            <w:r>
              <w:rPr>
                <w:rFonts w:ascii="Arial" w:cs="Arial" w:eastAsia="Arial" w:hAnsi="Arial"/>
                <w:sz w:val="18"/>
                <w:szCs w:val="18"/>
              </w:rPr>
              <w:t xml:space="preserve">Interpretabilidad</w:t>
            </w:r>
          </w:p>
        </w:tc>
        <w:tc>
          <w:tcPr>
            <w:tcW w:w="2255" w:type="dxa"/>
          </w:tcPr>
          <w:p w14:paraId="2A000168">
            <w:pPr>
              <w:spacing w:after="0" w:before="0" w:line="240" w:lineRule="auto"/>
            </w:pPr>
            <w:r>
              <w:rPr>
                <w:rFonts w:ascii="Arial" w:cs="Arial" w:eastAsia="Arial" w:hAnsi="Arial"/>
                <w:sz w:val="18"/>
                <w:szCs w:val="18"/>
              </w:rPr>
              <w:t xml:space="preserve">Coeficientes LR (TP1); SHAP (TF1)</w:t>
            </w:r>
          </w:p>
        </w:tc>
        <w:tc>
          <w:tcPr>
            <w:tcW w:w="1879" w:type="dxa"/>
          </w:tcPr>
          <w:p w14:paraId="2A000169">
            <w:pPr>
              <w:spacing w:after="0" w:before="0" w:line="240" w:lineRule="auto"/>
            </w:pPr>
            <w:r>
              <w:rPr>
                <w:rFonts w:ascii="Arial" w:cs="Arial" w:eastAsia="Arial" w:hAnsi="Arial"/>
                <w:sz w:val="18"/>
                <w:szCs w:val="18"/>
              </w:rPr>
              <w:t xml:space="preserve">Permutation importance</w:t>
            </w:r>
          </w:p>
        </w:tc>
        <w:tc>
          <w:tcPr>
            <w:tcW w:w="3758" w:type="dxa"/>
          </w:tcPr>
          <w:p w14:paraId="2A00016A">
            <w:pPr>
              <w:spacing w:after="0" w:before="0" w:line="240" w:lineRule="auto"/>
            </w:pPr>
            <w:r>
              <w:rPr>
                <w:rFonts w:ascii="Arial" w:cs="Arial" w:eastAsia="Arial" w:hAnsi="Arial"/>
                <w:sz w:val="18"/>
                <w:szCs w:val="18"/>
              </w:rPr>
              <w:t xml:space="preserve">SHAP permite explicaciones globales y por paciente.</w:t>
            </w:r>
          </w:p>
        </w:tc>
      </w:tr>
      <w:tr>
        <w:trPr>
          <w:cantSplit/>
        </w:trPr>
        <w:tc>
          <w:tcPr>
            <w:tcW w:w="1409" w:type="dxa"/>
          </w:tcPr>
          <w:p w14:paraId="2A00016B">
            <w:pPr>
              <w:spacing w:after="0" w:before="0" w:line="240" w:lineRule="auto"/>
            </w:pPr>
            <w:r>
              <w:rPr>
                <w:rFonts w:ascii="Arial" w:cs="Arial" w:eastAsia="Arial" w:hAnsi="Arial"/>
                <w:sz w:val="18"/>
                <w:szCs w:val="18"/>
              </w:rPr>
              <w:t xml:space="preserve">Despliegue</w:t>
            </w:r>
          </w:p>
        </w:tc>
        <w:tc>
          <w:tcPr>
            <w:tcW w:w="2255" w:type="dxa"/>
          </w:tcPr>
          <w:p w14:paraId="2A00016C">
            <w:pPr>
              <w:spacing w:after="0" w:before="0" w:line="240" w:lineRule="auto"/>
            </w:pPr>
            <w:r>
              <w:rPr>
                <w:rFonts w:ascii="Arial" w:cs="Arial" w:eastAsia="Arial" w:hAnsi="Arial"/>
                <w:sz w:val="18"/>
                <w:szCs w:val="18"/>
              </w:rPr>
              <w:t xml:space="preserve">Streamlit (TF1)</w:t>
            </w:r>
          </w:p>
        </w:tc>
        <w:tc>
          <w:tcPr>
            <w:tcW w:w="1879" w:type="dxa"/>
          </w:tcPr>
          <w:p w14:paraId="2A00016D">
            <w:pPr>
              <w:spacing w:after="0" w:before="0" w:line="240" w:lineRule="auto"/>
            </w:pPr>
            <w:r>
              <w:rPr>
                <w:rFonts w:ascii="Arial" w:cs="Arial" w:eastAsia="Arial" w:hAnsi="Arial"/>
                <w:sz w:val="18"/>
                <w:szCs w:val="18"/>
              </w:rPr>
              <w:t xml:space="preserve">FastAPI</w:t>
            </w:r>
          </w:p>
        </w:tc>
        <w:tc>
          <w:tcPr>
            <w:tcW w:w="3758" w:type="dxa"/>
          </w:tcPr>
          <w:p w14:paraId="2A00016E">
            <w:pPr>
              <w:spacing w:after="0" w:before="0" w:line="240" w:lineRule="auto"/>
            </w:pPr>
            <w:r>
              <w:rPr>
                <w:rFonts w:ascii="Arial" w:cs="Arial" w:eastAsia="Arial" w:hAnsi="Arial"/>
                <w:sz w:val="18"/>
                <w:szCs w:val="18"/>
              </w:rPr>
              <w:t xml:space="preserve">Interfaz sencilla para demostrar el uso del modelo fuera del notebook.</w:t>
            </w:r>
          </w:p>
        </w:tc>
      </w:tr>
    </w:tbl>
    <w:p w14:paraId="2A00016F">
      <w:pPr>
        <w:spacing w:after="60" w:before="0" w:line="276" w:lineRule="auto"/>
        <w:jc w:val="both"/>
      </w:pPr>
    </w:p>
    <w:p w14:paraId="2A000170">
      <w:pPr>
        <w:spacing w:after="240" w:before="240" w:lineRule="auto"/>
      </w:pPr>
      <w:r>
        <w:br w:type="page"/>
      </w:r>
      <w:r>
        <w:rPr>
          <w:b w:val="1"/>
          <w:bCs w:val="1"/>
          <w:sz w:val="36"/>
          <w:szCs w:val="36"/>
        </w:rPr>
        <w:t xml:space="preserve">7. Baseline</w:t>
      </w:r>
    </w:p>
    <w:p w14:paraId="2A000171">
      <w:pPr>
        <w:spacing w:after="120" w:before="120" w:line="276" w:lineRule="auto"/>
        <w:jc w:val="both"/>
      </w:pPr>
      <w:r>
        <w:rPr>
          <w:rFonts w:ascii="Arial" w:cs="Arial" w:eastAsia="Arial" w:hAnsi="Arial"/>
          <w:sz w:val="24"/>
          <w:szCs w:val="24"/>
        </w:rPr>
        <w:t xml:space="preserve">Para responder si el modelo mejora realmente frente a una solución trivial, se definieron tres referencias:</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1726"/>
        <w:gridCol w:w="3452"/>
        <w:gridCol w:w="959"/>
        <w:gridCol w:w="1055"/>
        <w:gridCol w:w="1055"/>
        <w:gridCol w:w="1055"/>
      </w:tblGrid>
      <w:tr>
        <w:trPr>
          <w:tblHeader/>
          <w:cantSplit/>
        </w:trPr>
        <w:tc>
          <w:tcPr>
            <w:tcW w:w="1726" w:type="dxa"/>
            <w:shd w:val="clear" w:color="auto" w:fill="1F3864"/>
          </w:tcPr>
          <w:p w14:paraId="2A000172">
            <w:pPr>
              <w:spacing w:after="0" w:before="0" w:line="240" w:lineRule="auto"/>
            </w:pPr>
            <w:r>
              <w:rPr>
                <w:rFonts w:ascii="Arial" w:cs="Arial" w:eastAsia="Arial" w:hAnsi="Arial"/>
                <w:b w:val="1"/>
                <w:bCs w:val="1"/>
                <w:color w:val="FFFFFF"/>
                <w:sz w:val="18"/>
                <w:szCs w:val="18"/>
              </w:rPr>
              <w:t xml:space="preserve">Baseline</w:t>
            </w:r>
          </w:p>
        </w:tc>
        <w:tc>
          <w:tcPr>
            <w:tcW w:w="3452" w:type="dxa"/>
            <w:shd w:val="clear" w:color="auto" w:fill="1F3864"/>
          </w:tcPr>
          <w:p w14:paraId="2A000173">
            <w:pPr>
              <w:spacing w:after="0" w:before="0" w:line="240" w:lineRule="auto"/>
            </w:pPr>
            <w:r>
              <w:rPr>
                <w:rFonts w:ascii="Arial" w:cs="Arial" w:eastAsia="Arial" w:hAnsi="Arial"/>
                <w:b w:val="1"/>
                <w:bCs w:val="1"/>
                <w:color w:val="FFFFFF"/>
                <w:sz w:val="18"/>
                <w:szCs w:val="18"/>
              </w:rPr>
              <w:t xml:space="preserve">Descripción</w:t>
            </w:r>
          </w:p>
        </w:tc>
        <w:tc>
          <w:tcPr>
            <w:tcW w:w="959" w:type="dxa"/>
            <w:shd w:val="clear" w:color="auto" w:fill="1F3864"/>
          </w:tcPr>
          <w:p w14:paraId="2A000174">
            <w:pPr>
              <w:spacing w:after="0" w:before="0" w:line="240" w:lineRule="auto"/>
            </w:pPr>
            <w:r>
              <w:rPr>
                <w:rFonts w:ascii="Arial" w:cs="Arial" w:eastAsia="Arial" w:hAnsi="Arial"/>
                <w:b w:val="1"/>
                <w:bCs w:val="1"/>
                <w:color w:val="FFFFFF"/>
                <w:sz w:val="18"/>
                <w:szCs w:val="18"/>
              </w:rPr>
              <w:t xml:space="preserve">Recall</w:t>
            </w:r>
          </w:p>
        </w:tc>
        <w:tc>
          <w:tcPr>
            <w:tcW w:w="1055" w:type="dxa"/>
            <w:shd w:val="clear" w:color="auto" w:fill="1F3864"/>
          </w:tcPr>
          <w:p w14:paraId="2A000175">
            <w:pPr>
              <w:spacing w:after="0" w:before="0" w:line="240" w:lineRule="auto"/>
            </w:pPr>
            <w:r>
              <w:rPr>
                <w:rFonts w:ascii="Arial" w:cs="Arial" w:eastAsia="Arial" w:hAnsi="Arial"/>
                <w:b w:val="1"/>
                <w:bCs w:val="1"/>
                <w:color w:val="FFFFFF"/>
                <w:sz w:val="18"/>
                <w:szCs w:val="18"/>
              </w:rPr>
              <w:t xml:space="preserve">Precisión</w:t>
            </w:r>
          </w:p>
        </w:tc>
        <w:tc>
          <w:tcPr>
            <w:tcW w:w="1055" w:type="dxa"/>
            <w:shd w:val="clear" w:color="auto" w:fill="1F3864"/>
          </w:tcPr>
          <w:p w14:paraId="2A000176">
            <w:pPr>
              <w:spacing w:after="0" w:before="0" w:line="240" w:lineRule="auto"/>
            </w:pPr>
            <w:r>
              <w:rPr>
                <w:rFonts w:ascii="Arial" w:cs="Arial" w:eastAsia="Arial" w:hAnsi="Arial"/>
                <w:b w:val="1"/>
                <w:bCs w:val="1"/>
                <w:color w:val="FFFFFF"/>
                <w:sz w:val="18"/>
                <w:szCs w:val="18"/>
              </w:rPr>
              <w:t xml:space="preserve">ROC-AUC</w:t>
            </w:r>
          </w:p>
        </w:tc>
        <w:tc>
          <w:tcPr>
            <w:tcW w:w="1055" w:type="dxa"/>
            <w:shd w:val="clear" w:color="auto" w:fill="1F3864"/>
          </w:tcPr>
          <w:p w14:paraId="2A000177">
            <w:pPr>
              <w:spacing w:after="0" w:before="0" w:line="240" w:lineRule="auto"/>
            </w:pPr>
            <w:r>
              <w:rPr>
                <w:rFonts w:ascii="Arial" w:cs="Arial" w:eastAsia="Arial" w:hAnsi="Arial"/>
                <w:b w:val="1"/>
                <w:bCs w:val="1"/>
                <w:color w:val="FFFFFF"/>
                <w:sz w:val="18"/>
                <w:szCs w:val="18"/>
              </w:rPr>
              <w:t xml:space="preserve">PR-AUC</w:t>
            </w:r>
          </w:p>
        </w:tc>
      </w:tr>
      <w:tr>
        <w:trPr>
          <w:cantSplit/>
        </w:trPr>
        <w:tc>
          <w:tcPr>
            <w:tcW w:w="1726" w:type="dxa"/>
          </w:tcPr>
          <w:p w14:paraId="2A000178">
            <w:pPr>
              <w:spacing w:after="0" w:before="0" w:line="240" w:lineRule="auto"/>
            </w:pPr>
            <w:r>
              <w:rPr>
                <w:rFonts w:ascii="Arial" w:cs="Arial" w:eastAsia="Arial" w:hAnsi="Arial"/>
                <w:sz w:val="18"/>
                <w:szCs w:val="18"/>
              </w:rPr>
              <w:t xml:space="preserve">Siempre Benign</w:t>
            </w:r>
          </w:p>
        </w:tc>
        <w:tc>
          <w:tcPr>
            <w:tcW w:w="3452" w:type="dxa"/>
          </w:tcPr>
          <w:p w14:paraId="2A000179">
            <w:pPr>
              <w:spacing w:after="0" w:before="0" w:line="240" w:lineRule="auto"/>
            </w:pPr>
            <w:r>
              <w:rPr>
                <w:rFonts w:ascii="Arial" w:cs="Arial" w:eastAsia="Arial" w:hAnsi="Arial"/>
                <w:sz w:val="18"/>
                <w:szCs w:val="18"/>
              </w:rPr>
              <w:t xml:space="preserve">DummyClassifier(most_frequent)</w:t>
            </w:r>
          </w:p>
        </w:tc>
        <w:tc>
          <w:tcPr>
            <w:tcW w:w="959" w:type="dxa"/>
          </w:tcPr>
          <w:p w14:paraId="2A00017A">
            <w:pPr>
              <w:spacing w:after="0" w:before="0" w:line="240" w:lineRule="auto"/>
            </w:pPr>
            <w:r>
              <w:rPr>
                <w:rFonts w:ascii="Arial" w:cs="Arial" w:eastAsia="Arial" w:hAnsi="Arial"/>
                <w:sz w:val="18"/>
                <w:szCs w:val="18"/>
              </w:rPr>
              <w:t xml:space="preserve">0.000</w:t>
            </w:r>
          </w:p>
        </w:tc>
        <w:tc>
          <w:tcPr>
            <w:tcW w:w="1055" w:type="dxa"/>
          </w:tcPr>
          <w:p w14:paraId="2A00017B">
            <w:pPr>
              <w:spacing w:after="0" w:before="0" w:line="240" w:lineRule="auto"/>
            </w:pPr>
            <w:r>
              <w:rPr>
                <w:rFonts w:ascii="Arial" w:cs="Arial" w:eastAsia="Arial" w:hAnsi="Arial"/>
                <w:sz w:val="18"/>
                <w:szCs w:val="18"/>
              </w:rPr>
              <w:t xml:space="preserve">0.000</w:t>
            </w:r>
          </w:p>
        </w:tc>
        <w:tc>
          <w:tcPr>
            <w:tcW w:w="1055" w:type="dxa"/>
          </w:tcPr>
          <w:p w14:paraId="2A00017C">
            <w:pPr>
              <w:spacing w:after="0" w:before="0" w:line="240" w:lineRule="auto"/>
            </w:pPr>
            <w:r>
              <w:rPr>
                <w:rFonts w:ascii="Arial" w:cs="Arial" w:eastAsia="Arial" w:hAnsi="Arial"/>
                <w:sz w:val="18"/>
                <w:szCs w:val="18"/>
              </w:rPr>
              <w:t xml:space="preserve">0.500</w:t>
            </w:r>
          </w:p>
        </w:tc>
        <w:tc>
          <w:tcPr>
            <w:tcW w:w="1055" w:type="dxa"/>
          </w:tcPr>
          <w:p w14:paraId="2A00017D">
            <w:pPr>
              <w:spacing w:after="0" w:before="0" w:line="240" w:lineRule="auto"/>
            </w:pPr>
            <w:r>
              <w:rPr>
                <w:rFonts w:ascii="Arial" w:cs="Arial" w:eastAsia="Arial" w:hAnsi="Arial"/>
                <w:sz w:val="18"/>
                <w:szCs w:val="18"/>
              </w:rPr>
              <w:t xml:space="preserve">0.233</w:t>
            </w:r>
          </w:p>
        </w:tc>
      </w:tr>
      <w:tr>
        <w:trPr>
          <w:cantSplit/>
        </w:trPr>
        <w:tc>
          <w:tcPr>
            <w:tcW w:w="1726" w:type="dxa"/>
          </w:tcPr>
          <w:p w14:paraId="2A00017E">
            <w:pPr>
              <w:spacing w:after="0" w:before="0" w:line="240" w:lineRule="auto"/>
            </w:pPr>
            <w:r>
              <w:rPr>
                <w:rFonts w:ascii="Arial" w:cs="Arial" w:eastAsia="Arial" w:hAnsi="Arial"/>
                <w:sz w:val="18"/>
                <w:szCs w:val="18"/>
              </w:rPr>
              <w:t xml:space="preserve">Dummy estratificado</w:t>
            </w:r>
          </w:p>
        </w:tc>
        <w:tc>
          <w:tcPr>
            <w:tcW w:w="3452" w:type="dxa"/>
          </w:tcPr>
          <w:p w14:paraId="2A00017F">
            <w:pPr>
              <w:spacing w:after="0" w:before="0" w:line="240" w:lineRule="auto"/>
            </w:pPr>
            <w:r>
              <w:rPr>
                <w:rFonts w:ascii="Arial" w:cs="Arial" w:eastAsia="Arial" w:hAnsi="Arial"/>
                <w:sz w:val="18"/>
                <w:szCs w:val="18"/>
              </w:rPr>
              <w:t xml:space="preserve">Predice al azar respetando la proporción de clases</w:t>
            </w:r>
          </w:p>
        </w:tc>
        <w:tc>
          <w:tcPr>
            <w:tcW w:w="959" w:type="dxa"/>
          </w:tcPr>
          <w:p w14:paraId="2A000180">
            <w:pPr>
              <w:spacing w:after="0" w:before="0" w:line="240" w:lineRule="auto"/>
            </w:pPr>
            <w:r>
              <w:rPr>
                <w:rFonts w:ascii="Arial" w:cs="Arial" w:eastAsia="Arial" w:hAnsi="Arial"/>
                <w:sz w:val="18"/>
                <w:szCs w:val="18"/>
              </w:rPr>
              <w:t xml:space="preserve">0.226</w:t>
            </w:r>
          </w:p>
        </w:tc>
        <w:tc>
          <w:tcPr>
            <w:tcW w:w="1055" w:type="dxa"/>
          </w:tcPr>
          <w:p w14:paraId="2A000181">
            <w:pPr>
              <w:spacing w:after="0" w:before="0" w:line="240" w:lineRule="auto"/>
            </w:pPr>
            <w:r>
              <w:rPr>
                <w:rFonts w:ascii="Arial" w:cs="Arial" w:eastAsia="Arial" w:hAnsi="Arial"/>
                <w:sz w:val="18"/>
                <w:szCs w:val="18"/>
              </w:rPr>
              <w:t xml:space="preserve">0.227</w:t>
            </w:r>
          </w:p>
        </w:tc>
        <w:tc>
          <w:tcPr>
            <w:tcW w:w="1055" w:type="dxa"/>
          </w:tcPr>
          <w:p w14:paraId="2A000182">
            <w:pPr>
              <w:spacing w:after="0" w:before="0" w:line="240" w:lineRule="auto"/>
            </w:pPr>
            <w:r>
              <w:rPr>
                <w:rFonts w:ascii="Arial" w:cs="Arial" w:eastAsia="Arial" w:hAnsi="Arial"/>
                <w:sz w:val="18"/>
                <w:szCs w:val="18"/>
              </w:rPr>
              <w:t xml:space="preserve">0.496</w:t>
            </w:r>
          </w:p>
        </w:tc>
        <w:tc>
          <w:tcPr>
            <w:tcW w:w="1055" w:type="dxa"/>
          </w:tcPr>
          <w:p w14:paraId="2A000183">
            <w:pPr>
              <w:spacing w:after="0" w:before="0" w:line="240" w:lineRule="auto"/>
            </w:pPr>
            <w:r>
              <w:rPr>
                <w:rFonts w:ascii="Arial" w:cs="Arial" w:eastAsia="Arial" w:hAnsi="Arial"/>
                <w:sz w:val="18"/>
                <w:szCs w:val="18"/>
              </w:rPr>
              <w:t xml:space="preserve">0.231</w:t>
            </w:r>
          </w:p>
        </w:tc>
      </w:tr>
      <w:tr>
        <w:trPr>
          <w:cantSplit/>
        </w:trPr>
        <w:tc>
          <w:tcPr>
            <w:tcW w:w="1726" w:type="dxa"/>
          </w:tcPr>
          <w:p w14:paraId="2A000184">
            <w:pPr>
              <w:spacing w:after="0" w:before="0" w:line="240" w:lineRule="auto"/>
            </w:pPr>
            <w:r>
              <w:rPr>
                <w:rFonts w:ascii="Arial" w:cs="Arial" w:eastAsia="Arial" w:hAnsi="Arial"/>
                <w:sz w:val="18"/>
                <w:szCs w:val="18"/>
              </w:rPr>
              <w:t xml:space="preserve">Regla del dominio</w:t>
            </w:r>
          </w:p>
        </w:tc>
        <w:tc>
          <w:tcPr>
            <w:tcW w:w="3452" w:type="dxa"/>
          </w:tcPr>
          <w:p w14:paraId="2A000185">
            <w:pPr>
              <w:spacing w:after="0" w:before="0" w:line="240" w:lineRule="auto"/>
            </w:pPr>
            <w:r>
              <w:rPr>
                <w:rFonts w:ascii="Arial" w:cs="Arial" w:eastAsia="Arial" w:hAnsi="Arial"/>
                <w:sz w:val="18"/>
                <w:szCs w:val="18"/>
              </w:rPr>
              <w:t xml:space="preserve">Malignant si Thyroid_Cancer_Risk = High</w:t>
            </w:r>
          </w:p>
        </w:tc>
        <w:tc>
          <w:tcPr>
            <w:tcW w:w="959" w:type="dxa"/>
          </w:tcPr>
          <w:p w14:paraId="2A000186">
            <w:pPr>
              <w:spacing w:after="0" w:before="0" w:line="240" w:lineRule="auto"/>
            </w:pPr>
            <w:r>
              <w:rPr>
                <w:rFonts w:ascii="Arial" w:cs="Arial" w:eastAsia="Arial" w:hAnsi="Arial"/>
                <w:sz w:val="18"/>
                <w:szCs w:val="18"/>
              </w:rPr>
              <w:t xml:space="preserve">0.453</w:t>
            </w:r>
          </w:p>
        </w:tc>
        <w:tc>
          <w:tcPr>
            <w:tcW w:w="1055" w:type="dxa"/>
          </w:tcPr>
          <w:p w14:paraId="2A000187">
            <w:pPr>
              <w:spacing w:after="0" w:before="0" w:line="240" w:lineRule="auto"/>
            </w:pPr>
            <w:r>
              <w:rPr>
                <w:rFonts w:ascii="Arial" w:cs="Arial" w:eastAsia="Arial" w:hAnsi="Arial"/>
                <w:sz w:val="18"/>
                <w:szCs w:val="18"/>
              </w:rPr>
              <w:t xml:space="preserve">0.701</w:t>
            </w:r>
          </w:p>
        </w:tc>
        <w:tc>
          <w:tcPr>
            <w:tcW w:w="1055" w:type="dxa"/>
          </w:tcPr>
          <w:p w14:paraId="2A000188">
            <w:pPr>
              <w:spacing w:after="0" w:before="0" w:line="240" w:lineRule="auto"/>
            </w:pPr>
            <w:r>
              <w:rPr>
                <w:rFonts w:ascii="Arial" w:cs="Arial" w:eastAsia="Arial" w:hAnsi="Arial"/>
                <w:sz w:val="18"/>
                <w:szCs w:val="18"/>
              </w:rPr>
              <w:t xml:space="preserve">0.701</w:t>
            </w:r>
          </w:p>
        </w:tc>
        <w:tc>
          <w:tcPr>
            <w:tcW w:w="1055" w:type="dxa"/>
          </w:tcPr>
          <w:p w14:paraId="2A000189">
            <w:pPr>
              <w:spacing w:after="0" w:before="0" w:line="240" w:lineRule="auto"/>
            </w:pPr>
            <w:r>
              <w:rPr>
                <w:rFonts w:ascii="Arial" w:cs="Arial" w:eastAsia="Arial" w:hAnsi="Arial"/>
                <w:sz w:val="18"/>
                <w:szCs w:val="18"/>
              </w:rPr>
              <w:t xml:space="preserve">0.465</w:t>
            </w:r>
          </w:p>
        </w:tc>
      </w:tr>
    </w:tbl>
    <w:p w14:paraId="2A00018A">
      <w:pPr>
        <w:spacing w:after="60" w:before="0" w:line="276" w:lineRule="auto"/>
        <w:jc w:val="both"/>
      </w:pPr>
    </w:p>
    <w:p w14:paraId="2A00018B">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los Dummy representan el piso mínimo (equivalente al azar). La regla del dominio es una referencia exigente: resume el conocimiento previo incorporado en el puntaje de riesgo. Un modelo útil debería al menos igualarla sin utilizar esa variable.</w:t>
      </w:r>
    </w:p>
    <w:p w14:paraId="2A00018C">
      <w:pPr>
        <w:spacing w:after="240" w:before="240" w:lineRule="auto"/>
      </w:pPr>
      <w:r>
        <w:br w:type="page"/>
      </w:r>
      <w:r>
        <w:rPr>
          <w:b w:val="1"/>
          <w:bCs w:val="1"/>
          <w:sz w:val="36"/>
          <w:szCs w:val="36"/>
        </w:rPr>
        <w:t xml:space="preserve">8. Modelos Preliminares</w:t>
      </w:r>
    </w:p>
    <w:p w14:paraId="2A00018D">
      <w:pPr>
        <w:spacing w:after="120" w:before="120" w:line="276" w:lineRule="auto"/>
        <w:jc w:val="both"/>
      </w:pPr>
      <w:r>
        <w:rPr>
          <w:rFonts w:ascii="Arial" w:cs="Arial" w:eastAsia="Arial" w:hAnsi="Arial"/>
          <w:sz w:val="24"/>
          <w:szCs w:val="24"/>
        </w:rPr>
        <w:t xml:space="preserve">Se compararon tres alternativas, todas con class_weight='balanced' para compensar el desbalance:</w:t>
      </w:r>
    </w:p>
    <w:p w14:paraId="2A00018E">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Regresión Logística:</w:t>
      </w:r>
      <w:r>
        <w:rPr>
          <w:rFonts w:ascii="Arial" w:cs="Arial" w:eastAsia="Arial" w:hAnsi="Arial"/>
          <w:sz w:val="24"/>
          <w:szCs w:val="24"/>
        </w:rPr>
        <w:t xml:space="preserve"> modelo lineal e interpretable (sus coeficientes son log-odds). Es adecuado si el efecto de los factores binarios es aditivo.</w:t>
      </w:r>
    </w:p>
    <w:p w14:paraId="2A00018F">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Random Forest</w:t>
      </w:r>
      <w:r>
        <w:rPr>
          <w:rFonts w:ascii="Arial" w:cs="Arial" w:eastAsia="Arial" w:hAnsi="Arial"/>
          <w:sz w:val="24"/>
          <w:szCs w:val="24"/>
        </w:rPr>
        <w:t xml:space="preserve"> (200 árboles, profundidad máxima 12, mínimo 20 muestras por hoja): captura interacciones y no linealidades sin necesidad de escalar.</w:t>
      </w:r>
    </w:p>
    <w:p w14:paraId="2A000190">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HistGradientBoosting</w:t>
      </w:r>
      <w:r>
        <w:rPr>
          <w:rFonts w:ascii="Arial" w:cs="Arial" w:eastAsia="Arial" w:hAnsi="Arial"/>
          <w:sz w:val="24"/>
          <w:szCs w:val="24"/>
        </w:rPr>
        <w:t xml:space="preserve"> (200 iteraciones, learning rate 0.1): boosting basado en histogramas, eficiente con 150 mil registros.</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325"/>
        <w:gridCol w:w="2325"/>
        <w:gridCol w:w="2325"/>
        <w:gridCol w:w="2325"/>
      </w:tblGrid>
      <w:tr>
        <w:trPr>
          <w:tblHeader/>
          <w:cantSplit/>
        </w:trPr>
        <w:tc>
          <w:tcPr>
            <w:tcW w:w="2325" w:type="dxa"/>
            <w:shd w:val="clear" w:color="auto" w:fill="1F3864"/>
          </w:tcPr>
          <w:p w14:paraId="2A000191">
            <w:pPr>
              <w:spacing w:after="0" w:before="0" w:line="240" w:lineRule="auto"/>
            </w:pPr>
            <w:r>
              <w:rPr>
                <w:rFonts w:ascii="Arial" w:cs="Arial" w:eastAsia="Arial" w:hAnsi="Arial"/>
                <w:b w:val="1"/>
                <w:bCs w:val="1"/>
                <w:color w:val="FFFFFF"/>
                <w:sz w:val="18"/>
                <w:szCs w:val="18"/>
              </w:rPr>
              <w:t xml:space="preserve">Modelo</w:t>
            </w:r>
          </w:p>
        </w:tc>
        <w:tc>
          <w:tcPr>
            <w:tcW w:w="2325" w:type="dxa"/>
            <w:shd w:val="clear" w:color="auto" w:fill="1F3864"/>
          </w:tcPr>
          <w:p w14:paraId="2A000192">
            <w:pPr>
              <w:spacing w:after="0" w:before="0" w:line="240" w:lineRule="auto"/>
            </w:pPr>
            <w:r>
              <w:rPr>
                <w:rFonts w:ascii="Arial" w:cs="Arial" w:eastAsia="Arial" w:hAnsi="Arial"/>
                <w:b w:val="1"/>
                <w:bCs w:val="1"/>
                <w:color w:val="FFFFFF"/>
                <w:sz w:val="18"/>
                <w:szCs w:val="18"/>
              </w:rPr>
              <w:t xml:space="preserve">ROC-AUC CV (media)</w:t>
            </w:r>
          </w:p>
        </w:tc>
        <w:tc>
          <w:tcPr>
            <w:tcW w:w="2325" w:type="dxa"/>
            <w:shd w:val="clear" w:color="auto" w:fill="1F3864"/>
          </w:tcPr>
          <w:p w14:paraId="2A000193">
            <w:pPr>
              <w:spacing w:after="0" w:before="0" w:line="240" w:lineRule="auto"/>
            </w:pPr>
            <w:r>
              <w:rPr>
                <w:rFonts w:ascii="Arial" w:cs="Arial" w:eastAsia="Arial" w:hAnsi="Arial"/>
                <w:b w:val="1"/>
                <w:bCs w:val="1"/>
                <w:color w:val="FFFFFF"/>
                <w:sz w:val="18"/>
                <w:szCs w:val="18"/>
              </w:rPr>
              <w:t xml:space="preserve">Desv. estándar</w:t>
            </w:r>
          </w:p>
        </w:tc>
        <w:tc>
          <w:tcPr>
            <w:tcW w:w="2325" w:type="dxa"/>
            <w:shd w:val="clear" w:color="auto" w:fill="1F3864"/>
          </w:tcPr>
          <w:p w14:paraId="2A000194">
            <w:pPr>
              <w:spacing w:after="0" w:before="0" w:line="240" w:lineRule="auto"/>
            </w:pPr>
            <w:r>
              <w:rPr>
                <w:rFonts w:ascii="Arial" w:cs="Arial" w:eastAsia="Arial" w:hAnsi="Arial"/>
                <w:b w:val="1"/>
                <w:bCs w:val="1"/>
                <w:color w:val="FFFFFF"/>
                <w:sz w:val="18"/>
                <w:szCs w:val="18"/>
              </w:rPr>
              <w:t xml:space="preserve">Tiempo (s)</w:t>
            </w:r>
          </w:p>
        </w:tc>
      </w:tr>
      <w:tr>
        <w:trPr>
          <w:cantSplit/>
        </w:trPr>
        <w:tc>
          <w:tcPr>
            <w:tcW w:w="2325" w:type="dxa"/>
          </w:tcPr>
          <w:p w14:paraId="2A000195">
            <w:pPr>
              <w:spacing w:after="0" w:before="0" w:line="240" w:lineRule="auto"/>
            </w:pPr>
            <w:r>
              <w:rPr>
                <w:rFonts w:ascii="Arial" w:cs="Arial" w:eastAsia="Arial" w:hAnsi="Arial"/>
                <w:sz w:val="18"/>
                <w:szCs w:val="18"/>
              </w:rPr>
              <w:t xml:space="preserve">Regresión Logística</w:t>
            </w:r>
          </w:p>
        </w:tc>
        <w:tc>
          <w:tcPr>
            <w:tcW w:w="2325" w:type="dxa"/>
          </w:tcPr>
          <w:p w14:paraId="2A000196">
            <w:pPr>
              <w:spacing w:after="0" w:before="0" w:line="240" w:lineRule="auto"/>
            </w:pPr>
            <w:r>
              <w:rPr>
                <w:rFonts w:ascii="Arial" w:cs="Arial" w:eastAsia="Arial" w:hAnsi="Arial"/>
                <w:sz w:val="18"/>
                <w:szCs w:val="18"/>
              </w:rPr>
              <w:t xml:space="preserve">0.670</w:t>
            </w:r>
          </w:p>
        </w:tc>
        <w:tc>
          <w:tcPr>
            <w:tcW w:w="2325" w:type="dxa"/>
          </w:tcPr>
          <w:p w14:paraId="2A000197">
            <w:pPr>
              <w:spacing w:after="0" w:before="0" w:line="240" w:lineRule="auto"/>
            </w:pPr>
            <w:r>
              <w:rPr>
                <w:rFonts w:ascii="Arial" w:cs="Arial" w:eastAsia="Arial" w:hAnsi="Arial"/>
                <w:sz w:val="18"/>
                <w:szCs w:val="18"/>
              </w:rPr>
              <w:t xml:space="preserve">0.003</w:t>
            </w:r>
          </w:p>
        </w:tc>
        <w:tc>
          <w:tcPr>
            <w:tcW w:w="2325" w:type="dxa"/>
          </w:tcPr>
          <w:p w14:paraId="2A000198">
            <w:pPr>
              <w:spacing w:after="0" w:before="0" w:line="240" w:lineRule="auto"/>
            </w:pPr>
            <w:r>
              <w:rPr>
                <w:rFonts w:ascii="Arial" w:cs="Arial" w:eastAsia="Arial" w:hAnsi="Arial"/>
                <w:sz w:val="18"/>
                <w:szCs w:val="18"/>
              </w:rPr>
              <w:t xml:space="preserve">≈ 5</w:t>
            </w:r>
          </w:p>
        </w:tc>
      </w:tr>
      <w:tr>
        <w:trPr>
          <w:cantSplit/>
        </w:trPr>
        <w:tc>
          <w:tcPr>
            <w:tcW w:w="2325" w:type="dxa"/>
          </w:tcPr>
          <w:p w14:paraId="2A000199">
            <w:pPr>
              <w:spacing w:after="0" w:before="0" w:line="240" w:lineRule="auto"/>
            </w:pPr>
            <w:r>
              <w:rPr>
                <w:rFonts w:ascii="Arial" w:cs="Arial" w:eastAsia="Arial" w:hAnsi="Arial"/>
                <w:sz w:val="18"/>
                <w:szCs w:val="18"/>
              </w:rPr>
              <w:t xml:space="preserve">Random Forest</w:t>
            </w:r>
          </w:p>
        </w:tc>
        <w:tc>
          <w:tcPr>
            <w:tcW w:w="2325" w:type="dxa"/>
          </w:tcPr>
          <w:p w14:paraId="2A00019A">
            <w:pPr>
              <w:spacing w:after="0" w:before="0" w:line="240" w:lineRule="auto"/>
            </w:pPr>
            <w:r>
              <w:rPr>
                <w:rFonts w:ascii="Arial" w:cs="Arial" w:eastAsia="Arial" w:hAnsi="Arial"/>
                <w:sz w:val="18"/>
                <w:szCs w:val="18"/>
              </w:rPr>
              <w:t xml:space="preserve">0.696</w:t>
            </w:r>
          </w:p>
        </w:tc>
        <w:tc>
          <w:tcPr>
            <w:tcW w:w="2325" w:type="dxa"/>
          </w:tcPr>
          <w:p w14:paraId="2A00019B">
            <w:pPr>
              <w:spacing w:after="0" w:before="0" w:line="240" w:lineRule="auto"/>
            </w:pPr>
            <w:r>
              <w:rPr>
                <w:rFonts w:ascii="Arial" w:cs="Arial" w:eastAsia="Arial" w:hAnsi="Arial"/>
                <w:sz w:val="18"/>
                <w:szCs w:val="18"/>
              </w:rPr>
              <w:t xml:space="preserve">0.003</w:t>
            </w:r>
          </w:p>
        </w:tc>
        <w:tc>
          <w:tcPr>
            <w:tcW w:w="2325" w:type="dxa"/>
          </w:tcPr>
          <w:p w14:paraId="2A00019C">
            <w:pPr>
              <w:spacing w:after="0" w:before="0" w:line="240" w:lineRule="auto"/>
            </w:pPr>
            <w:r>
              <w:rPr>
                <w:rFonts w:ascii="Arial" w:cs="Arial" w:eastAsia="Arial" w:hAnsi="Arial"/>
                <w:sz w:val="18"/>
                <w:szCs w:val="18"/>
              </w:rPr>
              <w:t xml:space="preserve">≈ 72</w:t>
            </w:r>
          </w:p>
        </w:tc>
      </w:tr>
      <w:tr>
        <w:trPr>
          <w:cantSplit/>
        </w:trPr>
        <w:tc>
          <w:tcPr>
            <w:tcW w:w="2325" w:type="dxa"/>
          </w:tcPr>
          <w:p w14:paraId="2A00019D">
            <w:pPr>
              <w:spacing w:after="0" w:before="0" w:line="240" w:lineRule="auto"/>
            </w:pPr>
            <w:r>
              <w:rPr>
                <w:rFonts w:ascii="Arial" w:cs="Arial" w:eastAsia="Arial" w:hAnsi="Arial"/>
                <w:sz w:val="18"/>
                <w:szCs w:val="18"/>
              </w:rPr>
              <w:t xml:space="preserve">HistGradientBoosting</w:t>
            </w:r>
          </w:p>
        </w:tc>
        <w:tc>
          <w:tcPr>
            <w:tcW w:w="2325" w:type="dxa"/>
          </w:tcPr>
          <w:p w14:paraId="2A00019E">
            <w:pPr>
              <w:spacing w:after="0" w:before="0" w:line="240" w:lineRule="auto"/>
            </w:pPr>
            <w:r>
              <w:rPr>
                <w:rFonts w:ascii="Arial" w:cs="Arial" w:eastAsia="Arial" w:hAnsi="Arial"/>
                <w:sz w:val="18"/>
                <w:szCs w:val="18"/>
              </w:rPr>
              <w:t xml:space="preserve">0.695</w:t>
            </w:r>
          </w:p>
        </w:tc>
        <w:tc>
          <w:tcPr>
            <w:tcW w:w="2325" w:type="dxa"/>
          </w:tcPr>
          <w:p w14:paraId="2A00019F">
            <w:pPr>
              <w:spacing w:after="0" w:before="0" w:line="240" w:lineRule="auto"/>
            </w:pPr>
            <w:r>
              <w:rPr>
                <w:rFonts w:ascii="Arial" w:cs="Arial" w:eastAsia="Arial" w:hAnsi="Arial"/>
                <w:sz w:val="18"/>
                <w:szCs w:val="18"/>
              </w:rPr>
              <w:t xml:space="preserve">0.002</w:t>
            </w:r>
          </w:p>
        </w:tc>
        <w:tc>
          <w:tcPr>
            <w:tcW w:w="2325" w:type="dxa"/>
          </w:tcPr>
          <w:p w14:paraId="2A0001A0">
            <w:pPr>
              <w:spacing w:after="0" w:before="0" w:line="240" w:lineRule="auto"/>
            </w:pPr>
            <w:r>
              <w:rPr>
                <w:rFonts w:ascii="Arial" w:cs="Arial" w:eastAsia="Arial" w:hAnsi="Arial"/>
                <w:sz w:val="18"/>
                <w:szCs w:val="18"/>
              </w:rPr>
              <w:t xml:space="preserve">≈ 15</w:t>
            </w:r>
          </w:p>
        </w:tc>
      </w:tr>
    </w:tbl>
    <w:p w14:paraId="2A0001A1">
      <w:pPr>
        <w:spacing w:after="60" w:before="0" w:line="276" w:lineRule="auto"/>
        <w:jc w:val="both"/>
      </w:pPr>
    </w:p>
    <w:p w14:paraId="2A0001A2">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la desviación de ROC-AUC entre los 5 folds es muy baja (≤ 0.003), por lo que las diferencias observadas no dependen de una partición favorable. Los dos modelos de árboles superan a la Regresión Logística.</w:t>
      </w:r>
    </w:p>
    <w:p w14:paraId="2A0001A3">
      <w:pPr>
        <w:spacing w:after="240" w:before="240" w:lineRule="auto"/>
      </w:pPr>
      <w:r>
        <w:br w:type="page"/>
      </w:r>
      <w:r>
        <w:rPr>
          <w:b w:val="1"/>
          <w:bCs w:val="1"/>
          <w:sz w:val="36"/>
          <w:szCs w:val="36"/>
        </w:rPr>
        <w:t xml:space="preserve">9. Evaluación Preliminar</w:t>
      </w:r>
    </w:p>
    <w:p w14:paraId="2A0001A4">
      <w:pPr>
        <w:keepNext/>
        <w:spacing w:after="160" w:before="240" w:lineRule="auto"/>
      </w:pPr>
      <w:r>
        <w:rPr>
          <w:b w:val="1"/>
          <w:bCs w:val="1"/>
          <w:sz w:val="32"/>
          <w:szCs w:val="32"/>
        </w:rPr>
        <w:t xml:space="preserve">9.1 Métricas seleccionadas y justificación</w:t>
      </w:r>
    </w:p>
    <w:p w14:paraId="2A0001A5">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Recall de Malignant:</w:t>
      </w:r>
      <w:r>
        <w:rPr>
          <w:rFonts w:ascii="Arial" w:cs="Arial" w:eastAsia="Arial" w:hAnsi="Arial"/>
          <w:sz w:val="24"/>
          <w:szCs w:val="24"/>
        </w:rPr>
        <w:t xml:space="preserve"> en triaje oncológico un falso negativo (paciente maligno no detectado) es el error más costoso.</w:t>
      </w:r>
    </w:p>
    <w:p w14:paraId="2A0001A6">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Precisión de Malignant:</w:t>
      </w:r>
      <w:r>
        <w:rPr>
          <w:rFonts w:ascii="Arial" w:cs="Arial" w:eastAsia="Arial" w:hAnsi="Arial"/>
          <w:sz w:val="24"/>
          <w:szCs w:val="24"/>
        </w:rPr>
        <w:t xml:space="preserve"> cada falso positivo implica estudios innecesarios (biopsias, ansiedad, costos).</w:t>
      </w:r>
    </w:p>
    <w:p w14:paraId="2A0001A7">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F1:</w:t>
      </w:r>
      <w:r>
        <w:rPr>
          <w:rFonts w:ascii="Arial" w:cs="Arial" w:eastAsia="Arial" w:hAnsi="Arial"/>
          <w:sz w:val="24"/>
          <w:szCs w:val="24"/>
        </w:rPr>
        <w:t xml:space="preserve"> resume el equilibrio entre recall y precisión.</w:t>
      </w:r>
    </w:p>
    <w:p w14:paraId="2A0001A8">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ROC-AUC:</w:t>
      </w:r>
      <w:r>
        <w:rPr>
          <w:rFonts w:ascii="Arial" w:cs="Arial" w:eastAsia="Arial" w:hAnsi="Arial"/>
          <w:sz w:val="24"/>
          <w:szCs w:val="24"/>
        </w:rPr>
        <w:t xml:space="preserve"> mide la capacidad de ordenar pacientes por riesgo, independientemente del umbral.</w:t>
      </w:r>
    </w:p>
    <w:p w14:paraId="2A0001A9">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PR-AUC:</w:t>
      </w:r>
      <w:r>
        <w:rPr>
          <w:rFonts w:ascii="Arial" w:cs="Arial" w:eastAsia="Arial" w:hAnsi="Arial"/>
          <w:sz w:val="24"/>
          <w:szCs w:val="24"/>
        </w:rPr>
        <w:t xml:space="preserve"> más informativa que ROC-AUC con clases desbalanceadas; su valor de referencia es la prevalencia (0.233).</w:t>
      </w:r>
    </w:p>
    <w:p w14:paraId="2A0001AA">
      <w:pPr>
        <w:keepNext/>
        <w:spacing w:after="160" w:before="240" w:lineRule="auto"/>
      </w:pPr>
      <w:r>
        <w:rPr>
          <w:b w:val="1"/>
          <w:bCs w:val="1"/>
          <w:sz w:val="32"/>
          <w:szCs w:val="32"/>
        </w:rPr>
        <w:t xml:space="preserve">9.2 Resultados en el conjunto de validación</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800"/>
        <w:gridCol w:w="1000"/>
        <w:gridCol w:w="1100"/>
        <w:gridCol w:w="900"/>
        <w:gridCol w:w="1300"/>
        <w:gridCol w:w="1100"/>
        <w:gridCol w:w="1100"/>
      </w:tblGrid>
      <w:tr>
        <w:trPr>
          <w:tblHeader/>
          <w:cantSplit/>
        </w:trPr>
        <w:tc>
          <w:tcPr>
            <w:tcW w:w="2800" w:type="dxa"/>
            <w:shd w:val="clear" w:color="auto" w:fill="1F3864"/>
          </w:tcPr>
          <w:p w14:paraId="2A0001AB">
            <w:pPr>
              <w:spacing w:after="0" w:before="0" w:line="240" w:lineRule="auto"/>
            </w:pPr>
            <w:r>
              <w:rPr>
                <w:rFonts w:ascii="Arial" w:cs="Arial" w:eastAsia="Arial" w:hAnsi="Arial"/>
                <w:b w:val="1"/>
                <w:bCs w:val="1"/>
                <w:color w:val="FFFFFF"/>
                <w:sz w:val="18"/>
                <w:szCs w:val="18"/>
              </w:rPr>
              <w:t xml:space="preserve">Modelo</w:t>
            </w:r>
          </w:p>
        </w:tc>
        <w:tc>
          <w:tcPr>
            <w:tcW w:w="1000" w:type="dxa"/>
            <w:shd w:val="clear" w:color="auto" w:fill="1F3864"/>
          </w:tcPr>
          <w:p w14:paraId="2A0001AC">
            <w:pPr>
              <w:spacing w:after="0" w:before="0" w:line="240" w:lineRule="auto"/>
            </w:pPr>
            <w:r>
              <w:rPr>
                <w:rFonts w:ascii="Arial" w:cs="Arial" w:eastAsia="Arial" w:hAnsi="Arial"/>
                <w:b w:val="1"/>
                <w:bCs w:val="1"/>
                <w:color w:val="FFFFFF"/>
                <w:sz w:val="18"/>
                <w:szCs w:val="18"/>
              </w:rPr>
              <w:t xml:space="preserve">Recall</w:t>
            </w:r>
          </w:p>
        </w:tc>
        <w:tc>
          <w:tcPr>
            <w:tcW w:w="1100" w:type="dxa"/>
            <w:shd w:val="clear" w:color="auto" w:fill="1F3864"/>
          </w:tcPr>
          <w:p w14:paraId="2A0001AD">
            <w:pPr>
              <w:spacing w:after="0" w:before="0" w:line="240" w:lineRule="auto"/>
            </w:pPr>
            <w:r>
              <w:rPr>
                <w:rFonts w:ascii="Arial" w:cs="Arial" w:eastAsia="Arial" w:hAnsi="Arial"/>
                <w:b w:val="1"/>
                <w:bCs w:val="1"/>
                <w:color w:val="FFFFFF"/>
                <w:sz w:val="18"/>
                <w:szCs w:val="18"/>
              </w:rPr>
              <w:t xml:space="preserve">Precisión</w:t>
            </w:r>
          </w:p>
        </w:tc>
        <w:tc>
          <w:tcPr>
            <w:tcW w:w="900" w:type="dxa"/>
            <w:shd w:val="clear" w:color="auto" w:fill="1F3864"/>
          </w:tcPr>
          <w:p w14:paraId="2A0001AE">
            <w:pPr>
              <w:spacing w:after="0" w:before="0" w:line="240" w:lineRule="auto"/>
            </w:pPr>
            <w:r>
              <w:rPr>
                <w:rFonts w:ascii="Arial" w:cs="Arial" w:eastAsia="Arial" w:hAnsi="Arial"/>
                <w:b w:val="1"/>
                <w:bCs w:val="1"/>
                <w:color w:val="FFFFFF"/>
                <w:sz w:val="18"/>
                <w:szCs w:val="18"/>
              </w:rPr>
              <w:t xml:space="preserve">F1</w:t>
            </w:r>
          </w:p>
        </w:tc>
        <w:tc>
          <w:tcPr>
            <w:tcW w:w="1300" w:type="dxa"/>
            <w:shd w:val="clear" w:color="auto" w:fill="1F3864"/>
          </w:tcPr>
          <w:p w14:paraId="2A0001AF">
            <w:pPr>
              <w:spacing w:after="0" w:before="0" w:line="240" w:lineRule="auto"/>
            </w:pPr>
            <w:r>
              <w:rPr>
                <w:rFonts w:ascii="Arial" w:cs="Arial" w:eastAsia="Arial" w:hAnsi="Arial"/>
                <w:b w:val="1"/>
                <w:bCs w:val="1"/>
                <w:color w:val="FFFFFF"/>
                <w:sz w:val="18"/>
                <w:szCs w:val="18"/>
              </w:rPr>
              <w:t xml:space="preserve">Especificidad</w:t>
            </w:r>
          </w:p>
        </w:tc>
        <w:tc>
          <w:tcPr>
            <w:tcW w:w="1100" w:type="dxa"/>
            <w:shd w:val="clear" w:color="auto" w:fill="1F3864"/>
          </w:tcPr>
          <w:p w14:paraId="2A0001B0">
            <w:pPr>
              <w:spacing w:after="0" w:before="0" w:line="240" w:lineRule="auto"/>
            </w:pPr>
            <w:r>
              <w:rPr>
                <w:rFonts w:ascii="Arial" w:cs="Arial" w:eastAsia="Arial" w:hAnsi="Arial"/>
                <w:b w:val="1"/>
                <w:bCs w:val="1"/>
                <w:color w:val="FFFFFF"/>
                <w:sz w:val="18"/>
                <w:szCs w:val="18"/>
              </w:rPr>
              <w:t xml:space="preserve">ROC-AUC</w:t>
            </w:r>
          </w:p>
        </w:tc>
        <w:tc>
          <w:tcPr>
            <w:tcW w:w="1100" w:type="dxa"/>
            <w:shd w:val="clear" w:color="auto" w:fill="1F3864"/>
          </w:tcPr>
          <w:p w14:paraId="2A0001B1">
            <w:pPr>
              <w:spacing w:after="0" w:before="0" w:line="240" w:lineRule="auto"/>
            </w:pPr>
            <w:r>
              <w:rPr>
                <w:rFonts w:ascii="Arial" w:cs="Arial" w:eastAsia="Arial" w:hAnsi="Arial"/>
                <w:b w:val="1"/>
                <w:bCs w:val="1"/>
                <w:color w:val="FFFFFF"/>
                <w:sz w:val="18"/>
                <w:szCs w:val="18"/>
              </w:rPr>
              <w:t xml:space="preserve">PR-AUC</w:t>
            </w:r>
          </w:p>
        </w:tc>
      </w:tr>
      <w:tr>
        <w:trPr>
          <w:cantSplit/>
        </w:trPr>
        <w:tc>
          <w:tcPr>
            <w:tcW w:w="2800" w:type="dxa"/>
          </w:tcPr>
          <w:p w14:paraId="2A0001B2">
            <w:pPr>
              <w:spacing w:after="0" w:before="0" w:line="240" w:lineRule="auto"/>
            </w:pPr>
            <w:r>
              <w:rPr>
                <w:rFonts w:ascii="Arial" w:cs="Arial" w:eastAsia="Arial" w:hAnsi="Arial"/>
                <w:sz w:val="18"/>
                <w:szCs w:val="18"/>
              </w:rPr>
              <w:t xml:space="preserve">Dummy estratificado</w:t>
            </w:r>
          </w:p>
        </w:tc>
        <w:tc>
          <w:tcPr>
            <w:tcW w:w="1000" w:type="dxa"/>
          </w:tcPr>
          <w:p w14:paraId="2A0001B3">
            <w:pPr>
              <w:spacing w:after="0" w:before="0" w:line="240" w:lineRule="auto"/>
            </w:pPr>
            <w:r>
              <w:rPr>
                <w:rFonts w:ascii="Arial" w:cs="Arial" w:eastAsia="Arial" w:hAnsi="Arial"/>
                <w:sz w:val="18"/>
                <w:szCs w:val="18"/>
              </w:rPr>
              <w:t xml:space="preserve">0.226</w:t>
            </w:r>
          </w:p>
        </w:tc>
        <w:tc>
          <w:tcPr>
            <w:tcW w:w="1100" w:type="dxa"/>
          </w:tcPr>
          <w:p w14:paraId="2A0001B4">
            <w:pPr>
              <w:spacing w:after="0" w:before="0" w:line="240" w:lineRule="auto"/>
            </w:pPr>
            <w:r>
              <w:rPr>
                <w:rFonts w:ascii="Arial" w:cs="Arial" w:eastAsia="Arial" w:hAnsi="Arial"/>
                <w:sz w:val="18"/>
                <w:szCs w:val="18"/>
              </w:rPr>
              <w:t xml:space="preserve">0.227</w:t>
            </w:r>
          </w:p>
        </w:tc>
        <w:tc>
          <w:tcPr>
            <w:tcW w:w="900" w:type="dxa"/>
          </w:tcPr>
          <w:p w14:paraId="2A0001B5">
            <w:pPr>
              <w:spacing w:after="0" w:before="0" w:line="240" w:lineRule="auto"/>
            </w:pPr>
            <w:r>
              <w:rPr>
                <w:rFonts w:ascii="Arial" w:cs="Arial" w:eastAsia="Arial" w:hAnsi="Arial"/>
                <w:sz w:val="18"/>
                <w:szCs w:val="18"/>
              </w:rPr>
              <w:t xml:space="preserve">0.227</w:t>
            </w:r>
          </w:p>
        </w:tc>
        <w:tc>
          <w:tcPr>
            <w:tcW w:w="1300" w:type="dxa"/>
          </w:tcPr>
          <w:p w14:paraId="2A0001B6">
            <w:pPr>
              <w:spacing w:after="0" w:before="0" w:line="240" w:lineRule="auto"/>
            </w:pPr>
            <w:r>
              <w:rPr>
                <w:rFonts w:ascii="Arial" w:cs="Arial" w:eastAsia="Arial" w:hAnsi="Arial"/>
                <w:sz w:val="18"/>
                <w:szCs w:val="18"/>
              </w:rPr>
              <w:t xml:space="preserve">0.767</w:t>
            </w:r>
          </w:p>
        </w:tc>
        <w:tc>
          <w:tcPr>
            <w:tcW w:w="1100" w:type="dxa"/>
          </w:tcPr>
          <w:p w14:paraId="2A0001B7">
            <w:pPr>
              <w:spacing w:after="0" w:before="0" w:line="240" w:lineRule="auto"/>
            </w:pPr>
            <w:r>
              <w:rPr>
                <w:rFonts w:ascii="Arial" w:cs="Arial" w:eastAsia="Arial" w:hAnsi="Arial"/>
                <w:sz w:val="18"/>
                <w:szCs w:val="18"/>
              </w:rPr>
              <w:t xml:space="preserve">0.496</w:t>
            </w:r>
          </w:p>
        </w:tc>
        <w:tc>
          <w:tcPr>
            <w:tcW w:w="1100" w:type="dxa"/>
          </w:tcPr>
          <w:p w14:paraId="2A0001B8">
            <w:pPr>
              <w:spacing w:after="0" w:before="0" w:line="240" w:lineRule="auto"/>
            </w:pPr>
            <w:r>
              <w:rPr>
                <w:rFonts w:ascii="Arial" w:cs="Arial" w:eastAsia="Arial" w:hAnsi="Arial"/>
                <w:sz w:val="18"/>
                <w:szCs w:val="18"/>
              </w:rPr>
              <w:t xml:space="preserve">0.231</w:t>
            </w:r>
          </w:p>
        </w:tc>
      </w:tr>
      <w:tr>
        <w:trPr>
          <w:cantSplit/>
        </w:trPr>
        <w:tc>
          <w:tcPr>
            <w:tcW w:w="2800" w:type="dxa"/>
          </w:tcPr>
          <w:p w14:paraId="2A0001B9">
            <w:pPr>
              <w:spacing w:after="0" w:before="0" w:line="240" w:lineRule="auto"/>
            </w:pPr>
            <w:r>
              <w:rPr>
                <w:rFonts w:ascii="Arial" w:cs="Arial" w:eastAsia="Arial" w:hAnsi="Arial"/>
                <w:sz w:val="18"/>
                <w:szCs w:val="18"/>
              </w:rPr>
              <w:t xml:space="preserve">Regla dominio (Risk = High)</w:t>
            </w:r>
          </w:p>
        </w:tc>
        <w:tc>
          <w:tcPr>
            <w:tcW w:w="1000" w:type="dxa"/>
          </w:tcPr>
          <w:p w14:paraId="2A0001BA">
            <w:pPr>
              <w:spacing w:after="0" w:before="0" w:line="240" w:lineRule="auto"/>
            </w:pPr>
            <w:r>
              <w:rPr>
                <w:rFonts w:ascii="Arial" w:cs="Arial" w:eastAsia="Arial" w:hAnsi="Arial"/>
                <w:sz w:val="18"/>
                <w:szCs w:val="18"/>
              </w:rPr>
              <w:t xml:space="preserve">0.453</w:t>
            </w:r>
          </w:p>
        </w:tc>
        <w:tc>
          <w:tcPr>
            <w:tcW w:w="1100" w:type="dxa"/>
          </w:tcPr>
          <w:p w14:paraId="2A0001BB">
            <w:pPr>
              <w:spacing w:after="0" w:before="0" w:line="240" w:lineRule="auto"/>
            </w:pPr>
            <w:r>
              <w:rPr>
                <w:rFonts w:ascii="Arial" w:cs="Arial" w:eastAsia="Arial" w:hAnsi="Arial"/>
                <w:sz w:val="18"/>
                <w:szCs w:val="18"/>
              </w:rPr>
              <w:t xml:space="preserve">0.701</w:t>
            </w:r>
          </w:p>
        </w:tc>
        <w:tc>
          <w:tcPr>
            <w:tcW w:w="900" w:type="dxa"/>
          </w:tcPr>
          <w:p w14:paraId="2A0001BC">
            <w:pPr>
              <w:spacing w:after="0" w:before="0" w:line="240" w:lineRule="auto"/>
            </w:pPr>
            <w:r>
              <w:rPr>
                <w:rFonts w:ascii="Arial" w:cs="Arial" w:eastAsia="Arial" w:hAnsi="Arial"/>
                <w:sz w:val="18"/>
                <w:szCs w:val="18"/>
              </w:rPr>
              <w:t xml:space="preserve">0.550</w:t>
            </w:r>
          </w:p>
        </w:tc>
        <w:tc>
          <w:tcPr>
            <w:tcW w:w="1300" w:type="dxa"/>
          </w:tcPr>
          <w:p w14:paraId="2A0001BD">
            <w:pPr>
              <w:spacing w:after="0" w:before="0" w:line="240" w:lineRule="auto"/>
            </w:pPr>
            <w:r>
              <w:rPr>
                <w:rFonts w:ascii="Arial" w:cs="Arial" w:eastAsia="Arial" w:hAnsi="Arial"/>
                <w:sz w:val="18"/>
                <w:szCs w:val="18"/>
              </w:rPr>
              <w:t xml:space="preserve">0.941</w:t>
            </w:r>
          </w:p>
        </w:tc>
        <w:tc>
          <w:tcPr>
            <w:tcW w:w="1100" w:type="dxa"/>
          </w:tcPr>
          <w:p w14:paraId="2A0001BE">
            <w:pPr>
              <w:spacing w:after="0" w:before="0" w:line="240" w:lineRule="auto"/>
            </w:pPr>
            <w:r>
              <w:rPr>
                <w:rFonts w:ascii="Arial" w:cs="Arial" w:eastAsia="Arial" w:hAnsi="Arial"/>
                <w:sz w:val="18"/>
                <w:szCs w:val="18"/>
              </w:rPr>
              <w:t xml:space="preserve">0.701</w:t>
            </w:r>
          </w:p>
        </w:tc>
        <w:tc>
          <w:tcPr>
            <w:tcW w:w="1100" w:type="dxa"/>
          </w:tcPr>
          <w:p w14:paraId="2A0001BF">
            <w:pPr>
              <w:spacing w:after="0" w:before="0" w:line="240" w:lineRule="auto"/>
            </w:pPr>
            <w:r>
              <w:rPr>
                <w:rFonts w:ascii="Arial" w:cs="Arial" w:eastAsia="Arial" w:hAnsi="Arial"/>
                <w:sz w:val="18"/>
                <w:szCs w:val="18"/>
              </w:rPr>
              <w:t xml:space="preserve">0.465</w:t>
            </w:r>
          </w:p>
        </w:tc>
      </w:tr>
      <w:tr>
        <w:trPr>
          <w:cantSplit/>
        </w:trPr>
        <w:tc>
          <w:tcPr>
            <w:tcW w:w="2800" w:type="dxa"/>
          </w:tcPr>
          <w:p w14:paraId="2A0001C0">
            <w:pPr>
              <w:spacing w:after="0" w:before="0" w:line="240" w:lineRule="auto"/>
            </w:pPr>
            <w:r>
              <w:rPr>
                <w:rFonts w:ascii="Arial" w:cs="Arial" w:eastAsia="Arial" w:hAnsi="Arial"/>
                <w:sz w:val="18"/>
                <w:szCs w:val="18"/>
              </w:rPr>
              <w:t xml:space="preserve">Regresión Logística</w:t>
            </w:r>
          </w:p>
        </w:tc>
        <w:tc>
          <w:tcPr>
            <w:tcW w:w="1000" w:type="dxa"/>
          </w:tcPr>
          <w:p w14:paraId="2A0001C1">
            <w:pPr>
              <w:spacing w:after="0" w:before="0" w:line="240" w:lineRule="auto"/>
            </w:pPr>
            <w:r>
              <w:rPr>
                <w:rFonts w:ascii="Arial" w:cs="Arial" w:eastAsia="Arial" w:hAnsi="Arial"/>
                <w:sz w:val="18"/>
                <w:szCs w:val="18"/>
              </w:rPr>
              <w:t xml:space="preserve">0.615</w:t>
            </w:r>
          </w:p>
        </w:tc>
        <w:tc>
          <w:tcPr>
            <w:tcW w:w="1100" w:type="dxa"/>
          </w:tcPr>
          <w:p w14:paraId="2A0001C2">
            <w:pPr>
              <w:spacing w:after="0" w:before="0" w:line="240" w:lineRule="auto"/>
            </w:pPr>
            <w:r>
              <w:rPr>
                <w:rFonts w:ascii="Arial" w:cs="Arial" w:eastAsia="Arial" w:hAnsi="Arial"/>
                <w:sz w:val="18"/>
                <w:szCs w:val="18"/>
              </w:rPr>
              <w:t xml:space="preserve">0.352</w:t>
            </w:r>
          </w:p>
        </w:tc>
        <w:tc>
          <w:tcPr>
            <w:tcW w:w="900" w:type="dxa"/>
          </w:tcPr>
          <w:p w14:paraId="2A0001C3">
            <w:pPr>
              <w:spacing w:after="0" w:before="0" w:line="240" w:lineRule="auto"/>
            </w:pPr>
            <w:r>
              <w:rPr>
                <w:rFonts w:ascii="Arial" w:cs="Arial" w:eastAsia="Arial" w:hAnsi="Arial"/>
                <w:sz w:val="18"/>
                <w:szCs w:val="18"/>
              </w:rPr>
              <w:t xml:space="preserve">0.448</w:t>
            </w:r>
          </w:p>
        </w:tc>
        <w:tc>
          <w:tcPr>
            <w:tcW w:w="1300" w:type="dxa"/>
          </w:tcPr>
          <w:p w14:paraId="2A0001C4">
            <w:pPr>
              <w:spacing w:after="0" w:before="0" w:line="240" w:lineRule="auto"/>
            </w:pPr>
            <w:r>
              <w:rPr>
                <w:rFonts w:ascii="Arial" w:cs="Arial" w:eastAsia="Arial" w:hAnsi="Arial"/>
                <w:sz w:val="18"/>
                <w:szCs w:val="18"/>
              </w:rPr>
              <w:t xml:space="preserve">0.657</w:t>
            </w:r>
          </w:p>
        </w:tc>
        <w:tc>
          <w:tcPr>
            <w:tcW w:w="1100" w:type="dxa"/>
          </w:tcPr>
          <w:p w14:paraId="2A0001C5">
            <w:pPr>
              <w:spacing w:after="0" w:before="0" w:line="240" w:lineRule="auto"/>
            </w:pPr>
            <w:r>
              <w:rPr>
                <w:rFonts w:ascii="Arial" w:cs="Arial" w:eastAsia="Arial" w:hAnsi="Arial"/>
                <w:sz w:val="18"/>
                <w:szCs w:val="18"/>
              </w:rPr>
              <w:t xml:space="preserve">0.670</w:t>
            </w:r>
          </w:p>
        </w:tc>
        <w:tc>
          <w:tcPr>
            <w:tcW w:w="1100" w:type="dxa"/>
          </w:tcPr>
          <w:p w14:paraId="2A0001C6">
            <w:pPr>
              <w:spacing w:after="0" w:before="0" w:line="240" w:lineRule="auto"/>
            </w:pPr>
            <w:r>
              <w:rPr>
                <w:rFonts w:ascii="Arial" w:cs="Arial" w:eastAsia="Arial" w:hAnsi="Arial"/>
                <w:sz w:val="18"/>
                <w:szCs w:val="18"/>
              </w:rPr>
              <w:t xml:space="preserve">0.435</w:t>
            </w:r>
          </w:p>
        </w:tc>
      </w:tr>
      <w:tr>
        <w:trPr>
          <w:cantSplit/>
        </w:trPr>
        <w:tc>
          <w:tcPr>
            <w:tcW w:w="2800" w:type="dxa"/>
          </w:tcPr>
          <w:p w14:paraId="2A0001C7">
            <w:pPr>
              <w:spacing w:after="0" w:before="0" w:line="240" w:lineRule="auto"/>
            </w:pPr>
            <w:r>
              <w:rPr>
                <w:rFonts w:ascii="Arial" w:cs="Arial" w:eastAsia="Arial" w:hAnsi="Arial"/>
                <w:sz w:val="18"/>
                <w:szCs w:val="18"/>
              </w:rPr>
              <w:t xml:space="preserve">Random Forest</w:t>
            </w:r>
          </w:p>
        </w:tc>
        <w:tc>
          <w:tcPr>
            <w:tcW w:w="1000" w:type="dxa"/>
          </w:tcPr>
          <w:p w14:paraId="2A0001C8">
            <w:pPr>
              <w:spacing w:after="0" w:before="0" w:line="240" w:lineRule="auto"/>
            </w:pPr>
            <w:r>
              <w:rPr>
                <w:rFonts w:ascii="Arial" w:cs="Arial" w:eastAsia="Arial" w:hAnsi="Arial"/>
                <w:sz w:val="18"/>
                <w:szCs w:val="18"/>
              </w:rPr>
              <w:t xml:space="preserve">0.453</w:t>
            </w:r>
          </w:p>
        </w:tc>
        <w:tc>
          <w:tcPr>
            <w:tcW w:w="1100" w:type="dxa"/>
          </w:tcPr>
          <w:p w14:paraId="2A0001C9">
            <w:pPr>
              <w:spacing w:after="0" w:before="0" w:line="240" w:lineRule="auto"/>
            </w:pPr>
            <w:r>
              <w:rPr>
                <w:rFonts w:ascii="Arial" w:cs="Arial" w:eastAsia="Arial" w:hAnsi="Arial"/>
                <w:sz w:val="18"/>
                <w:szCs w:val="18"/>
              </w:rPr>
              <w:t xml:space="preserve">0.700</w:t>
            </w:r>
          </w:p>
        </w:tc>
        <w:tc>
          <w:tcPr>
            <w:tcW w:w="900" w:type="dxa"/>
          </w:tcPr>
          <w:p w14:paraId="2A0001CA">
            <w:pPr>
              <w:spacing w:after="0" w:before="0" w:line="240" w:lineRule="auto"/>
            </w:pPr>
            <w:r>
              <w:rPr>
                <w:rFonts w:ascii="Arial" w:cs="Arial" w:eastAsia="Arial" w:hAnsi="Arial"/>
                <w:sz w:val="18"/>
                <w:szCs w:val="18"/>
              </w:rPr>
              <w:t xml:space="preserve">0.550</w:t>
            </w:r>
          </w:p>
        </w:tc>
        <w:tc>
          <w:tcPr>
            <w:tcW w:w="1300" w:type="dxa"/>
          </w:tcPr>
          <w:p w14:paraId="2A0001CB">
            <w:pPr>
              <w:spacing w:after="0" w:before="0" w:line="240" w:lineRule="auto"/>
            </w:pPr>
            <w:r>
              <w:rPr>
                <w:rFonts w:ascii="Arial" w:cs="Arial" w:eastAsia="Arial" w:hAnsi="Arial"/>
                <w:sz w:val="18"/>
                <w:szCs w:val="18"/>
              </w:rPr>
              <w:t xml:space="preserve">0.941</w:t>
            </w:r>
          </w:p>
        </w:tc>
        <w:tc>
          <w:tcPr>
            <w:tcW w:w="1100" w:type="dxa"/>
          </w:tcPr>
          <w:p w14:paraId="2A0001CC">
            <w:pPr>
              <w:spacing w:after="0" w:before="0" w:line="240" w:lineRule="auto"/>
            </w:pPr>
            <w:r>
              <w:rPr>
                <w:rFonts w:ascii="Arial" w:cs="Arial" w:eastAsia="Arial" w:hAnsi="Arial"/>
                <w:sz w:val="18"/>
                <w:szCs w:val="18"/>
              </w:rPr>
              <w:t xml:space="preserve">0.697</w:t>
            </w:r>
          </w:p>
        </w:tc>
        <w:tc>
          <w:tcPr>
            <w:tcW w:w="1100" w:type="dxa"/>
          </w:tcPr>
          <w:p w14:paraId="2A0001CD">
            <w:pPr>
              <w:spacing w:after="0" w:before="0" w:line="240" w:lineRule="auto"/>
            </w:pPr>
            <w:r>
              <w:rPr>
                <w:rFonts w:ascii="Arial" w:cs="Arial" w:eastAsia="Arial" w:hAnsi="Arial"/>
                <w:sz w:val="18"/>
                <w:szCs w:val="18"/>
              </w:rPr>
              <w:t xml:space="preserve">0.499</w:t>
            </w:r>
          </w:p>
        </w:tc>
      </w:tr>
      <w:tr>
        <w:trPr>
          <w:cantSplit/>
        </w:trPr>
        <w:tc>
          <w:tcPr>
            <w:tcW w:w="2800" w:type="dxa"/>
          </w:tcPr>
          <w:p w14:paraId="2A0001CE">
            <w:pPr>
              <w:spacing w:after="0" w:before="0" w:line="240" w:lineRule="auto"/>
            </w:pPr>
            <w:r>
              <w:rPr>
                <w:rFonts w:ascii="Arial" w:cs="Arial" w:eastAsia="Arial" w:hAnsi="Arial"/>
                <w:b w:val="1"/>
                <w:bCs w:val="1"/>
                <w:sz w:val="18"/>
                <w:szCs w:val="18"/>
              </w:rPr>
              <w:t xml:space="preserve">HistGradientBoosting</w:t>
            </w:r>
          </w:p>
        </w:tc>
        <w:tc>
          <w:tcPr>
            <w:tcW w:w="1000" w:type="dxa"/>
          </w:tcPr>
          <w:p w14:paraId="2A0001CF">
            <w:pPr>
              <w:spacing w:after="0" w:before="0" w:line="240" w:lineRule="auto"/>
            </w:pPr>
            <w:r>
              <w:rPr>
                <w:rFonts w:ascii="Arial" w:cs="Arial" w:eastAsia="Arial" w:hAnsi="Arial"/>
                <w:b w:val="1"/>
                <w:bCs w:val="1"/>
                <w:sz w:val="18"/>
                <w:szCs w:val="18"/>
              </w:rPr>
              <w:t xml:space="preserve">0.453</w:t>
            </w:r>
          </w:p>
        </w:tc>
        <w:tc>
          <w:tcPr>
            <w:tcW w:w="1100" w:type="dxa"/>
          </w:tcPr>
          <w:p w14:paraId="2A0001D0">
            <w:pPr>
              <w:spacing w:after="0" w:before="0" w:line="240" w:lineRule="auto"/>
            </w:pPr>
            <w:r>
              <w:rPr>
                <w:rFonts w:ascii="Arial" w:cs="Arial" w:eastAsia="Arial" w:hAnsi="Arial"/>
                <w:b w:val="1"/>
                <w:bCs w:val="1"/>
                <w:sz w:val="18"/>
                <w:szCs w:val="18"/>
              </w:rPr>
              <w:t xml:space="preserve">0.700</w:t>
            </w:r>
          </w:p>
        </w:tc>
        <w:tc>
          <w:tcPr>
            <w:tcW w:w="900" w:type="dxa"/>
          </w:tcPr>
          <w:p w14:paraId="2A0001D1">
            <w:pPr>
              <w:spacing w:after="0" w:before="0" w:line="240" w:lineRule="auto"/>
            </w:pPr>
            <w:r>
              <w:rPr>
                <w:rFonts w:ascii="Arial" w:cs="Arial" w:eastAsia="Arial" w:hAnsi="Arial"/>
                <w:b w:val="1"/>
                <w:bCs w:val="1"/>
                <w:sz w:val="18"/>
                <w:szCs w:val="18"/>
              </w:rPr>
              <w:t xml:space="preserve">0.550</w:t>
            </w:r>
          </w:p>
        </w:tc>
        <w:tc>
          <w:tcPr>
            <w:tcW w:w="1300" w:type="dxa"/>
          </w:tcPr>
          <w:p w14:paraId="2A0001D2">
            <w:pPr>
              <w:spacing w:after="0" w:before="0" w:line="240" w:lineRule="auto"/>
            </w:pPr>
            <w:r>
              <w:rPr>
                <w:rFonts w:ascii="Arial" w:cs="Arial" w:eastAsia="Arial" w:hAnsi="Arial"/>
                <w:b w:val="1"/>
                <w:bCs w:val="1"/>
                <w:sz w:val="18"/>
                <w:szCs w:val="18"/>
              </w:rPr>
              <w:t xml:space="preserve">0.941</w:t>
            </w:r>
          </w:p>
        </w:tc>
        <w:tc>
          <w:tcPr>
            <w:tcW w:w="1100" w:type="dxa"/>
          </w:tcPr>
          <w:p w14:paraId="2A0001D3">
            <w:pPr>
              <w:spacing w:after="0" w:before="0" w:line="240" w:lineRule="auto"/>
            </w:pPr>
            <w:r>
              <w:rPr>
                <w:rFonts w:ascii="Arial" w:cs="Arial" w:eastAsia="Arial" w:hAnsi="Arial"/>
                <w:b w:val="1"/>
                <w:bCs w:val="1"/>
                <w:sz w:val="18"/>
                <w:szCs w:val="18"/>
              </w:rPr>
              <w:t xml:space="preserve">0.700</w:t>
            </w:r>
          </w:p>
        </w:tc>
        <w:tc>
          <w:tcPr>
            <w:tcW w:w="1100" w:type="dxa"/>
          </w:tcPr>
          <w:p w14:paraId="2A0001D4">
            <w:pPr>
              <w:spacing w:after="0" w:before="0" w:line="240" w:lineRule="auto"/>
            </w:pPr>
            <w:r>
              <w:rPr>
                <w:rFonts w:ascii="Arial" w:cs="Arial" w:eastAsia="Arial" w:hAnsi="Arial"/>
                <w:b w:val="1"/>
                <w:bCs w:val="1"/>
                <w:sz w:val="18"/>
                <w:szCs w:val="18"/>
              </w:rPr>
              <w:t xml:space="preserve">0.500</w:t>
            </w:r>
          </w:p>
        </w:tc>
      </w:tr>
    </w:tbl>
    <w:p w14:paraId="2A0001D5">
      <w:pPr>
        <w:spacing w:after="60" w:before="0" w:line="276" w:lineRule="auto"/>
        <w:jc w:val="both"/>
      </w:pPr>
    </w:p>
    <w:p w14:paraId="2A0001D6">
      <w:pPr>
        <w:keepNext/>
        <w:spacing w:before="120" w:after="0"/>
        <w:jc w:val="center"/>
      </w:pPr>
      <w:r>
        <w:drawing>
          <wp:inline distT="0" distB="0" distL="0" distR="0">
            <wp:extent cx="5852160" cy="2529752"/>
            <wp:docPr id="108" name="08_roc_pr"/>
            <a:graphic xmlns:a="http://schemas.openxmlformats.org/drawingml/2006/main">
              <a:graphicData uri="http://schemas.openxmlformats.org/drawingml/2006/picture">
                <pic:pic xmlns:pic="http://schemas.openxmlformats.org/drawingml/2006/picture">
                  <pic:nvPicPr>
                    <pic:cNvPr id="108" name="08_roc_pr.png"/>
                    <pic:cNvPicPr/>
                  </pic:nvPicPr>
                  <pic:blipFill>
                    <a:blip r:embed="rIdFig108"/>
                    <a:stretch>
                      <a:fillRect/>
                    </a:stretch>
                  </pic:blipFill>
                  <pic:spPr>
                    <a:xfrm>
                      <a:off x="0" y="0"/>
                      <a:ext cx="5852160" cy="2529752"/>
                    </a:xfrm>
                    <a:prstGeom prst="rect">
                      <a:avLst/>
                    </a:prstGeom>
                  </pic:spPr>
                </pic:pic>
              </a:graphicData>
            </a:graphic>
          </wp:inline>
        </w:drawing>
      </w:r>
    </w:p>
    <w:p w14:paraId="2A0001D7">
      <w:pPr>
        <w:spacing w:after="160" w:before="40" w:line="276" w:lineRule="auto"/>
        <w:jc w:val="center"/>
      </w:pPr>
      <w:r>
        <w:rPr>
          <w:rFonts w:ascii="Arial" w:cs="Arial" w:eastAsia="Arial" w:hAnsi="Arial"/>
          <w:i w:val="1"/>
          <w:sz w:val="18"/>
          <w:szCs w:val="18"/>
        </w:rPr>
        <w:t xml:space="preserve">Figura 8. Curvas ROC y Precisión–Recall de los modelos en validación.</w:t>
      </w:r>
    </w:p>
    <w:p w14:paraId="2A0001D8">
      <w:pPr>
        <w:keepNext/>
        <w:spacing w:before="120" w:after="0"/>
        <w:jc w:val="center"/>
      </w:pPr>
      <w:r>
        <w:drawing>
          <wp:inline distT="0" distB="0" distL="0" distR="0">
            <wp:extent cx="5852160" cy="2070523"/>
            <wp:docPr id="109" name="09_matrices_confusion"/>
            <a:graphic xmlns:a="http://schemas.openxmlformats.org/drawingml/2006/main">
              <a:graphicData uri="http://schemas.openxmlformats.org/drawingml/2006/picture">
                <pic:pic xmlns:pic="http://schemas.openxmlformats.org/drawingml/2006/picture">
                  <pic:nvPicPr>
                    <pic:cNvPr id="109" name="09_matrices_confusion.png"/>
                    <pic:cNvPicPr/>
                  </pic:nvPicPr>
                  <pic:blipFill>
                    <a:blip r:embed="rIdFig109"/>
                    <a:stretch>
                      <a:fillRect/>
                    </a:stretch>
                  </pic:blipFill>
                  <pic:spPr>
                    <a:xfrm>
                      <a:off x="0" y="0"/>
                      <a:ext cx="5852160" cy="2070523"/>
                    </a:xfrm>
                    <a:prstGeom prst="rect">
                      <a:avLst/>
                    </a:prstGeom>
                  </pic:spPr>
                </pic:pic>
              </a:graphicData>
            </a:graphic>
          </wp:inline>
        </w:drawing>
      </w:r>
    </w:p>
    <w:p w14:paraId="2A0001D9">
      <w:pPr>
        <w:spacing w:after="160" w:before="40" w:line="276" w:lineRule="auto"/>
        <w:jc w:val="center"/>
      </w:pPr>
      <w:r>
        <w:rPr>
          <w:rFonts w:ascii="Arial" w:cs="Arial" w:eastAsia="Arial" w:hAnsi="Arial"/>
          <w:i w:val="1"/>
          <w:sz w:val="18"/>
          <w:szCs w:val="18"/>
        </w:rPr>
        <w:t xml:space="preserve">Figura 9. Matrices de confusión en validación (umbral 0.5).</w:t>
      </w:r>
    </w:p>
    <w:p w14:paraId="2A0001DA">
      <w:pPr>
        <w:keepNext/>
        <w:spacing w:after="160" w:before="240" w:lineRule="auto"/>
      </w:pPr>
      <w:r>
        <w:rPr>
          <w:b w:val="1"/>
          <w:bCs w:val="1"/>
          <w:sz w:val="32"/>
          <w:szCs w:val="32"/>
        </w:rPr>
        <w:t xml:space="preserve">9.3 Análisis del umbral de decisión (HistGradientBoosting)</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325"/>
        <w:gridCol w:w="2325"/>
        <w:gridCol w:w="2325"/>
        <w:gridCol w:w="2325"/>
      </w:tblGrid>
      <w:tr>
        <w:trPr>
          <w:tblHeader/>
          <w:cantSplit/>
        </w:trPr>
        <w:tc>
          <w:tcPr>
            <w:tcW w:w="2325" w:type="dxa"/>
            <w:shd w:val="clear" w:color="auto" w:fill="1F3864"/>
          </w:tcPr>
          <w:p w14:paraId="2A0001DB">
            <w:pPr>
              <w:spacing w:after="0" w:before="0" w:line="240" w:lineRule="auto"/>
            </w:pPr>
            <w:r>
              <w:rPr>
                <w:rFonts w:ascii="Arial" w:cs="Arial" w:eastAsia="Arial" w:hAnsi="Arial"/>
                <w:b w:val="1"/>
                <w:bCs w:val="1"/>
                <w:color w:val="FFFFFF"/>
                <w:sz w:val="18"/>
                <w:szCs w:val="18"/>
              </w:rPr>
              <w:t xml:space="preserve">Recall objetivo</w:t>
            </w:r>
          </w:p>
        </w:tc>
        <w:tc>
          <w:tcPr>
            <w:tcW w:w="2325" w:type="dxa"/>
            <w:shd w:val="clear" w:color="auto" w:fill="1F3864"/>
          </w:tcPr>
          <w:p w14:paraId="2A0001DC">
            <w:pPr>
              <w:spacing w:after="0" w:before="0" w:line="240" w:lineRule="auto"/>
            </w:pPr>
            <w:r>
              <w:rPr>
                <w:rFonts w:ascii="Arial" w:cs="Arial" w:eastAsia="Arial" w:hAnsi="Arial"/>
                <w:b w:val="1"/>
                <w:bCs w:val="1"/>
                <w:color w:val="FFFFFF"/>
                <w:sz w:val="18"/>
                <w:szCs w:val="18"/>
              </w:rPr>
              <w:t xml:space="preserve">Umbral</w:t>
            </w:r>
          </w:p>
        </w:tc>
        <w:tc>
          <w:tcPr>
            <w:tcW w:w="2325" w:type="dxa"/>
            <w:shd w:val="clear" w:color="auto" w:fill="1F3864"/>
          </w:tcPr>
          <w:p w14:paraId="2A0001DD">
            <w:pPr>
              <w:spacing w:after="0" w:before="0" w:line="240" w:lineRule="auto"/>
            </w:pPr>
            <w:r>
              <w:rPr>
                <w:rFonts w:ascii="Arial" w:cs="Arial" w:eastAsia="Arial" w:hAnsi="Arial"/>
                <w:b w:val="1"/>
                <w:bCs w:val="1"/>
                <w:color w:val="FFFFFF"/>
                <w:sz w:val="18"/>
                <w:szCs w:val="18"/>
              </w:rPr>
              <w:t xml:space="preserve">Precisión</w:t>
            </w:r>
          </w:p>
        </w:tc>
        <w:tc>
          <w:tcPr>
            <w:tcW w:w="2325" w:type="dxa"/>
            <w:shd w:val="clear" w:color="auto" w:fill="1F3864"/>
          </w:tcPr>
          <w:p w14:paraId="2A0001DE">
            <w:pPr>
              <w:spacing w:after="0" w:before="0" w:line="240" w:lineRule="auto"/>
            </w:pPr>
            <w:r>
              <w:rPr>
                <w:rFonts w:ascii="Arial" w:cs="Arial" w:eastAsia="Arial" w:hAnsi="Arial"/>
                <w:b w:val="1"/>
                <w:bCs w:val="1"/>
                <w:color w:val="FFFFFF"/>
                <w:sz w:val="18"/>
                <w:szCs w:val="18"/>
              </w:rPr>
              <w:t xml:space="preserve">% de pacientes marcados como positivos</w:t>
            </w:r>
          </w:p>
        </w:tc>
      </w:tr>
      <w:tr>
        <w:trPr>
          <w:cantSplit/>
        </w:trPr>
        <w:tc>
          <w:tcPr>
            <w:tcW w:w="2325" w:type="dxa"/>
          </w:tcPr>
          <w:p w14:paraId="2A0001DF">
            <w:pPr>
              <w:spacing w:after="0" w:before="0" w:line="240" w:lineRule="auto"/>
            </w:pPr>
            <w:r>
              <w:rPr>
                <w:rFonts w:ascii="Arial" w:cs="Arial" w:eastAsia="Arial" w:hAnsi="Arial"/>
                <w:sz w:val="18"/>
                <w:szCs w:val="18"/>
              </w:rPr>
              <w:t xml:space="preserve">0.45</w:t>
            </w:r>
          </w:p>
        </w:tc>
        <w:tc>
          <w:tcPr>
            <w:tcW w:w="2325" w:type="dxa"/>
          </w:tcPr>
          <w:p w14:paraId="2A0001E0">
            <w:pPr>
              <w:spacing w:after="0" w:before="0" w:line="240" w:lineRule="auto"/>
            </w:pPr>
            <w:r>
              <w:rPr>
                <w:rFonts w:ascii="Arial" w:cs="Arial" w:eastAsia="Arial" w:hAnsi="Arial"/>
                <w:sz w:val="18"/>
                <w:szCs w:val="18"/>
              </w:rPr>
              <w:t xml:space="preserve">0.836</w:t>
            </w:r>
          </w:p>
        </w:tc>
        <w:tc>
          <w:tcPr>
            <w:tcW w:w="2325" w:type="dxa"/>
          </w:tcPr>
          <w:p w14:paraId="2A0001E1">
            <w:pPr>
              <w:spacing w:after="0" w:before="0" w:line="240" w:lineRule="auto"/>
            </w:pPr>
            <w:r>
              <w:rPr>
                <w:rFonts w:ascii="Arial" w:cs="Arial" w:eastAsia="Arial" w:hAnsi="Arial"/>
                <w:sz w:val="18"/>
                <w:szCs w:val="18"/>
              </w:rPr>
              <w:t xml:space="preserve">0.701</w:t>
            </w:r>
          </w:p>
        </w:tc>
        <w:tc>
          <w:tcPr>
            <w:tcW w:w="2325" w:type="dxa"/>
          </w:tcPr>
          <w:p w14:paraId="2A0001E2">
            <w:pPr>
              <w:spacing w:after="0" w:before="0" w:line="240" w:lineRule="auto"/>
            </w:pPr>
            <w:r>
              <w:rPr>
                <w:rFonts w:ascii="Arial" w:cs="Arial" w:eastAsia="Arial" w:hAnsi="Arial"/>
                <w:sz w:val="18"/>
                <w:szCs w:val="18"/>
              </w:rPr>
              <w:t xml:space="preserve">14.9 %</w:t>
            </w:r>
          </w:p>
        </w:tc>
      </w:tr>
      <w:tr>
        <w:trPr>
          <w:cantSplit/>
        </w:trPr>
        <w:tc>
          <w:tcPr>
            <w:tcW w:w="2325" w:type="dxa"/>
          </w:tcPr>
          <w:p w14:paraId="2A0001E3">
            <w:pPr>
              <w:spacing w:after="0" w:before="0" w:line="240" w:lineRule="auto"/>
            </w:pPr>
            <w:r>
              <w:rPr>
                <w:rFonts w:ascii="Arial" w:cs="Arial" w:eastAsia="Arial" w:hAnsi="Arial"/>
                <w:sz w:val="18"/>
                <w:szCs w:val="18"/>
              </w:rPr>
              <w:t xml:space="preserve">0.60</w:t>
            </w:r>
          </w:p>
        </w:tc>
        <w:tc>
          <w:tcPr>
            <w:tcW w:w="2325" w:type="dxa"/>
          </w:tcPr>
          <w:p w14:paraId="2A0001E4">
            <w:pPr>
              <w:spacing w:after="0" w:before="0" w:line="240" w:lineRule="auto"/>
            </w:pPr>
            <w:r>
              <w:rPr>
                <w:rFonts w:ascii="Arial" w:cs="Arial" w:eastAsia="Arial" w:hAnsi="Arial"/>
                <w:sz w:val="18"/>
                <w:szCs w:val="18"/>
              </w:rPr>
              <w:t xml:space="preserve">0.378</w:t>
            </w:r>
          </w:p>
        </w:tc>
        <w:tc>
          <w:tcPr>
            <w:tcW w:w="2325" w:type="dxa"/>
          </w:tcPr>
          <w:p w14:paraId="2A0001E5">
            <w:pPr>
              <w:spacing w:after="0" w:before="0" w:line="240" w:lineRule="auto"/>
            </w:pPr>
            <w:r>
              <w:rPr>
                <w:rFonts w:ascii="Arial" w:cs="Arial" w:eastAsia="Arial" w:hAnsi="Arial"/>
                <w:sz w:val="18"/>
                <w:szCs w:val="18"/>
              </w:rPr>
              <w:t xml:space="preserve">0.377</w:t>
            </w:r>
          </w:p>
        </w:tc>
        <w:tc>
          <w:tcPr>
            <w:tcW w:w="2325" w:type="dxa"/>
          </w:tcPr>
          <w:p w14:paraId="2A0001E6">
            <w:pPr>
              <w:spacing w:after="0" w:before="0" w:line="240" w:lineRule="auto"/>
            </w:pPr>
            <w:r>
              <w:rPr>
                <w:rFonts w:ascii="Arial" w:cs="Arial" w:eastAsia="Arial" w:hAnsi="Arial"/>
                <w:sz w:val="18"/>
                <w:szCs w:val="18"/>
              </w:rPr>
              <w:t xml:space="preserve">37.0 %</w:t>
            </w:r>
          </w:p>
        </w:tc>
      </w:tr>
      <w:tr>
        <w:trPr>
          <w:cantSplit/>
        </w:trPr>
        <w:tc>
          <w:tcPr>
            <w:tcW w:w="2325" w:type="dxa"/>
          </w:tcPr>
          <w:p w14:paraId="2A0001E7">
            <w:pPr>
              <w:spacing w:after="0" w:before="0" w:line="240" w:lineRule="auto"/>
            </w:pPr>
            <w:r>
              <w:rPr>
                <w:rFonts w:ascii="Arial" w:cs="Arial" w:eastAsia="Arial" w:hAnsi="Arial"/>
                <w:sz w:val="18"/>
                <w:szCs w:val="18"/>
              </w:rPr>
              <w:t xml:space="preserve">0.80</w:t>
            </w:r>
          </w:p>
        </w:tc>
        <w:tc>
          <w:tcPr>
            <w:tcW w:w="2325" w:type="dxa"/>
          </w:tcPr>
          <w:p w14:paraId="2A0001E8">
            <w:pPr>
              <w:spacing w:after="0" w:before="0" w:line="240" w:lineRule="auto"/>
            </w:pPr>
            <w:r>
              <w:rPr>
                <w:rFonts w:ascii="Arial" w:cs="Arial" w:eastAsia="Arial" w:hAnsi="Arial"/>
                <w:sz w:val="18"/>
                <w:szCs w:val="18"/>
              </w:rPr>
              <w:t xml:space="preserve">0.368</w:t>
            </w:r>
          </w:p>
        </w:tc>
        <w:tc>
          <w:tcPr>
            <w:tcW w:w="2325" w:type="dxa"/>
          </w:tcPr>
          <w:p w14:paraId="2A0001E9">
            <w:pPr>
              <w:spacing w:after="0" w:before="0" w:line="240" w:lineRule="auto"/>
            </w:pPr>
            <w:r>
              <w:rPr>
                <w:rFonts w:ascii="Arial" w:cs="Arial" w:eastAsia="Arial" w:hAnsi="Arial"/>
                <w:sz w:val="18"/>
                <w:szCs w:val="18"/>
              </w:rPr>
              <w:t xml:space="preserve">0.272</w:t>
            </w:r>
          </w:p>
        </w:tc>
        <w:tc>
          <w:tcPr>
            <w:tcW w:w="2325" w:type="dxa"/>
          </w:tcPr>
          <w:p w14:paraId="2A0001EA">
            <w:pPr>
              <w:spacing w:after="0" w:before="0" w:line="240" w:lineRule="auto"/>
            </w:pPr>
            <w:r>
              <w:rPr>
                <w:rFonts w:ascii="Arial" w:cs="Arial" w:eastAsia="Arial" w:hAnsi="Arial"/>
                <w:sz w:val="18"/>
                <w:szCs w:val="18"/>
              </w:rPr>
              <w:t xml:space="preserve">68.4 %</w:t>
            </w:r>
          </w:p>
        </w:tc>
      </w:tr>
      <w:tr>
        <w:trPr>
          <w:cantSplit/>
        </w:trPr>
        <w:tc>
          <w:tcPr>
            <w:tcW w:w="2325" w:type="dxa"/>
          </w:tcPr>
          <w:p w14:paraId="2A0001EB">
            <w:pPr>
              <w:spacing w:after="0" w:before="0" w:line="240" w:lineRule="auto"/>
            </w:pPr>
            <w:r>
              <w:rPr>
                <w:rFonts w:ascii="Arial" w:cs="Arial" w:eastAsia="Arial" w:hAnsi="Arial"/>
                <w:sz w:val="18"/>
                <w:szCs w:val="18"/>
              </w:rPr>
              <w:t xml:space="preserve">0.90</w:t>
            </w:r>
          </w:p>
        </w:tc>
        <w:tc>
          <w:tcPr>
            <w:tcW w:w="2325" w:type="dxa"/>
          </w:tcPr>
          <w:p w14:paraId="2A0001EC">
            <w:pPr>
              <w:spacing w:after="0" w:before="0" w:line="240" w:lineRule="auto"/>
            </w:pPr>
            <w:r>
              <w:rPr>
                <w:rFonts w:ascii="Arial" w:cs="Arial" w:eastAsia="Arial" w:hAnsi="Arial"/>
                <w:sz w:val="18"/>
                <w:szCs w:val="18"/>
              </w:rPr>
              <w:t xml:space="preserve">0.361</w:t>
            </w:r>
          </w:p>
        </w:tc>
        <w:tc>
          <w:tcPr>
            <w:tcW w:w="2325" w:type="dxa"/>
          </w:tcPr>
          <w:p w14:paraId="2A0001ED">
            <w:pPr>
              <w:spacing w:after="0" w:before="0" w:line="240" w:lineRule="auto"/>
            </w:pPr>
            <w:r>
              <w:rPr>
                <w:rFonts w:ascii="Arial" w:cs="Arial" w:eastAsia="Arial" w:hAnsi="Arial"/>
                <w:sz w:val="18"/>
                <w:szCs w:val="18"/>
              </w:rPr>
              <w:t xml:space="preserve">0.249</w:t>
            </w:r>
          </w:p>
        </w:tc>
        <w:tc>
          <w:tcPr>
            <w:tcW w:w="2325" w:type="dxa"/>
          </w:tcPr>
          <w:p w14:paraId="2A0001EE">
            <w:pPr>
              <w:spacing w:after="0" w:before="0" w:line="240" w:lineRule="auto"/>
            </w:pPr>
            <w:r>
              <w:rPr>
                <w:rFonts w:ascii="Arial" w:cs="Arial" w:eastAsia="Arial" w:hAnsi="Arial"/>
                <w:sz w:val="18"/>
                <w:szCs w:val="18"/>
              </w:rPr>
              <w:t xml:space="preserve">84.2 %</w:t>
            </w:r>
          </w:p>
        </w:tc>
      </w:tr>
      <w:tr>
        <w:trPr>
          <w:cantSplit/>
        </w:trPr>
        <w:tc>
          <w:tcPr>
            <w:tcW w:w="2325" w:type="dxa"/>
          </w:tcPr>
          <w:p w14:paraId="2A0001EF">
            <w:pPr>
              <w:spacing w:after="0" w:before="0" w:line="240" w:lineRule="auto"/>
            </w:pPr>
            <w:r>
              <w:rPr>
                <w:rFonts w:ascii="Arial" w:cs="Arial" w:eastAsia="Arial" w:hAnsi="Arial"/>
                <w:sz w:val="18"/>
                <w:szCs w:val="18"/>
              </w:rPr>
              <w:t xml:space="preserve">0.95</w:t>
            </w:r>
          </w:p>
        </w:tc>
        <w:tc>
          <w:tcPr>
            <w:tcW w:w="2325" w:type="dxa"/>
          </w:tcPr>
          <w:p w14:paraId="2A0001F0">
            <w:pPr>
              <w:spacing w:after="0" w:before="0" w:line="240" w:lineRule="auto"/>
            </w:pPr>
            <w:r>
              <w:rPr>
                <w:rFonts w:ascii="Arial" w:cs="Arial" w:eastAsia="Arial" w:hAnsi="Arial"/>
                <w:sz w:val="18"/>
                <w:szCs w:val="18"/>
              </w:rPr>
              <w:t xml:space="preserve">0.351</w:t>
            </w:r>
          </w:p>
        </w:tc>
        <w:tc>
          <w:tcPr>
            <w:tcW w:w="2325" w:type="dxa"/>
          </w:tcPr>
          <w:p w14:paraId="2A0001F1">
            <w:pPr>
              <w:spacing w:after="0" w:before="0" w:line="240" w:lineRule="auto"/>
            </w:pPr>
            <w:r>
              <w:rPr>
                <w:rFonts w:ascii="Arial" w:cs="Arial" w:eastAsia="Arial" w:hAnsi="Arial"/>
                <w:sz w:val="18"/>
                <w:szCs w:val="18"/>
              </w:rPr>
              <w:t xml:space="preserve">0.240</w:t>
            </w:r>
          </w:p>
        </w:tc>
        <w:tc>
          <w:tcPr>
            <w:tcW w:w="2325" w:type="dxa"/>
          </w:tcPr>
          <w:p w14:paraId="2A0001F2">
            <w:pPr>
              <w:spacing w:after="0" w:before="0" w:line="240" w:lineRule="auto"/>
            </w:pPr>
            <w:r>
              <w:rPr>
                <w:rFonts w:ascii="Arial" w:cs="Arial" w:eastAsia="Arial" w:hAnsi="Arial"/>
                <w:sz w:val="18"/>
                <w:szCs w:val="18"/>
              </w:rPr>
              <w:t xml:space="preserve">92.2 %</w:t>
            </w:r>
          </w:p>
        </w:tc>
      </w:tr>
    </w:tbl>
    <w:p w14:paraId="2A0001F3">
      <w:pPr>
        <w:spacing w:after="60" w:before="0" w:line="276" w:lineRule="auto"/>
        <w:jc w:val="both"/>
      </w:pPr>
    </w:p>
    <w:p w14:paraId="2A0001F4">
      <w:pPr>
        <w:keepNext/>
        <w:spacing w:before="120" w:after="0"/>
        <w:jc w:val="center"/>
      </w:pPr>
      <w:r>
        <w:drawing>
          <wp:inline distT="0" distB="0" distL="0" distR="0">
            <wp:extent cx="4754880" cy="2598295"/>
            <wp:docPr id="110" name="10_coeficientes_lr"/>
            <a:graphic xmlns:a="http://schemas.openxmlformats.org/drawingml/2006/main">
              <a:graphicData uri="http://schemas.openxmlformats.org/drawingml/2006/picture">
                <pic:pic xmlns:pic="http://schemas.openxmlformats.org/drawingml/2006/picture">
                  <pic:nvPicPr>
                    <pic:cNvPr id="110" name="10_coeficientes_lr.png"/>
                    <pic:cNvPicPr/>
                  </pic:nvPicPr>
                  <pic:blipFill>
                    <a:blip r:embed="rIdFig110"/>
                    <a:stretch>
                      <a:fillRect/>
                    </a:stretch>
                  </pic:blipFill>
                  <pic:spPr>
                    <a:xfrm>
                      <a:off x="0" y="0"/>
                      <a:ext cx="4754880" cy="2598295"/>
                    </a:xfrm>
                    <a:prstGeom prst="rect">
                      <a:avLst/>
                    </a:prstGeom>
                  </pic:spPr>
                </pic:pic>
              </a:graphicData>
            </a:graphic>
          </wp:inline>
        </w:drawing>
      </w:r>
    </w:p>
    <w:p w14:paraId="2A0001F5">
      <w:pPr>
        <w:spacing w:after="160" w:before="40" w:line="276" w:lineRule="auto"/>
        <w:jc w:val="center"/>
      </w:pPr>
      <w:r>
        <w:rPr>
          <w:rFonts w:ascii="Arial" w:cs="Arial" w:eastAsia="Arial" w:hAnsi="Arial"/>
          <w:i w:val="1"/>
          <w:sz w:val="18"/>
          <w:szCs w:val="18"/>
        </w:rPr>
        <w:t xml:space="preserve">Figura 10. Coeficientes de mayor magnitud de la Regresión Logística.</w:t>
      </w:r>
    </w:p>
    <w:p w14:paraId="2A0001F6">
      <w:pPr>
        <w:keepNext/>
        <w:spacing w:after="160" w:before="240" w:lineRule="auto"/>
      </w:pPr>
      <w:r>
        <w:rPr>
          <w:b w:val="1"/>
          <w:bCs w:val="1"/>
          <w:sz w:val="32"/>
          <w:szCs w:val="32"/>
        </w:rPr>
        <w:t xml:space="preserve">9.4 Interpretación de los resultados</w:t>
      </w:r>
    </w:p>
    <w:p w14:paraId="2A0001F7">
      <w:pPr>
        <w:spacing w:after="120" w:before="120" w:line="276" w:lineRule="auto"/>
        <w:jc w:val="both"/>
      </w:pPr>
      <w:r>
        <w:rPr>
          <w:rFonts w:ascii="Arial" w:cs="Arial" w:eastAsia="Arial" w:hAnsi="Arial"/>
          <w:b w:val="1"/>
          <w:bCs w:val="1"/>
          <w:sz w:val="24"/>
          <w:szCs w:val="24"/>
        </w:rPr>
        <w:t xml:space="preserve">Lo que muestran los datos:</w:t>
      </w:r>
      <w:r>
        <w:rPr>
          <w:rFonts w:ascii="Arial" w:cs="Arial" w:eastAsia="Arial" w:hAnsi="Arial"/>
          <w:sz w:val="24"/>
          <w:szCs w:val="24"/>
        </w:rPr>
        <w:t xml:space="preserve"> HistGradientBoosting y Random Forest alcanzan ROC-AUC ≈ 0.70 y PR-AUC ≈ 0.50, frente a 0.50 y 0.23 del Dummy. Con umbral 0.5 detectan el 45 % de los malignos con 70 % de precisión y 94 % de especificidad. La Regresión Logística logra más recall (0.62) pero con precisión de solo 0.35. Las predicciones de HistGradientBoosting coinciden al 100 % con la regla «Risk = High»; solo mejoran levemente el ordenamiento (PR-AUC 0.500 frente a 0.465). Para alcanzar un recall de 90 % la precisión cae a 0.25 (casi igual a la prevalencia) y habría que marcar como positivos al 84 % de los pacientes.</w:t>
      </w:r>
    </w:p>
    <w:p w14:paraId="2A0001F8">
      <w:pPr>
        <w:spacing w:after="120" w:before="120" w:line="276" w:lineRule="auto"/>
        <w:jc w:val="both"/>
      </w:pPr>
      <w:r>
        <w:rPr>
          <w:rFonts w:ascii="Arial" w:cs="Arial" w:eastAsia="Arial" w:hAnsi="Arial"/>
          <w:b w:val="1"/>
          <w:bCs w:val="1"/>
          <w:sz w:val="24"/>
          <w:szCs w:val="24"/>
        </w:rPr>
        <w:t xml:space="preserve">Interpretación del grupo:</w:t>
      </w:r>
      <w:r>
        <w:rPr>
          <w:rFonts w:ascii="Arial" w:cs="Arial" w:eastAsia="Arial" w:hAnsi="Arial"/>
          <w:sz w:val="24"/>
          <w:szCs w:val="24"/>
        </w:rPr>
        <w:t xml:space="preserve"> los modelos aprenden señal real (muy por encima del azar), pero esa señal se limita a los factores identificados en el EDA, lo que confirman los coeficientes de la Regresión Logística (antecedente familiar, deficiencia de yodo, radiación, India y etnia asiática). El techo de desempeño lo impone el dataset y no el algoritmo. El criterio planteado inicialmente (recall mayor a 90 %) no es alcanzable con una precisión útil, por lo que se reformula como «maximizar el recall de Malignant manteniendo una precisión mínima aceptable», con el umbral definido en el TF1 a partir de un costo explícito de errores. Como hipótesis por verificar, el patrón sugiere que el generador asignó primero el nivel de riesgo a partir de los factores y luego el diagnóstico a partir del riesgo; si es así, ningún modelo podría superar sustancialmente este techo.</w:t>
      </w:r>
    </w:p>
    <w:p w14:paraId="2A0001F9">
      <w:pPr>
        <w:spacing w:after="240" w:before="240" w:lineRule="auto"/>
      </w:pPr>
      <w:r>
        <w:br w:type="page"/>
      </w:r>
      <w:r>
        <w:rPr>
          <w:b w:val="1"/>
          <w:bCs w:val="1"/>
          <w:sz w:val="36"/>
          <w:szCs w:val="36"/>
        </w:rPr>
        <w:t xml:space="preserve">10. Estado del Proyecto y Plan hacia el TF1</w:t>
      </w:r>
    </w:p>
    <w:p w14:paraId="2A0001FA">
      <w:pPr>
        <w:keepNext/>
        <w:spacing w:after="160" w:before="240" w:lineRule="auto"/>
      </w:pPr>
      <w:r>
        <w:rPr>
          <w:b w:val="1"/>
          <w:bCs w:val="1"/>
          <w:sz w:val="32"/>
          <w:szCs w:val="32"/>
        </w:rPr>
        <w:t xml:space="preserve">10.1 Principales hallazgos</w:t>
      </w:r>
    </w:p>
    <w:p w14:paraId="2A0001FB">
      <w:pPr>
        <w:spacing w:after="40" w:before="40" w:line="276" w:lineRule="auto"/>
        <w:ind w:left="567" w:hanging="283"/>
        <w:jc w:val="both"/>
      </w:pPr>
      <w:r>
        <w:rPr>
          <w:rFonts w:ascii="Arial" w:cs="Arial" w:eastAsia="Arial" w:hAnsi="Arial"/>
          <w:sz w:val="24"/>
          <w:szCs w:val="24"/>
        </w:rPr>
        <w:t xml:space="preserve">•  El diagnóstico está desbalanceado (23.3 % malignos).</w:t>
      </w:r>
    </w:p>
    <w:p w14:paraId="2A0001FC">
      <w:pPr>
        <w:spacing w:after="40" w:before="40" w:line="276" w:lineRule="auto"/>
        <w:ind w:left="567" w:hanging="283"/>
        <w:jc w:val="both"/>
      </w:pPr>
      <w:r>
        <w:rPr>
          <w:rFonts w:ascii="Arial" w:cs="Arial" w:eastAsia="Arial" w:hAnsi="Arial"/>
          <w:sz w:val="24"/>
          <w:szCs w:val="24"/>
        </w:rPr>
        <w:t xml:space="preserve">•  Solo el antecedente familiar, la radiación, la deficiencia de yodo, India y la etnia asiática se asocian con malignidad; hormonas, nódulo, edad, sexo, tabaquismo, obesidad y diabetes no aportan.</w:t>
      </w:r>
    </w:p>
    <w:p w14:paraId="2A0001FD">
      <w:pPr>
        <w:spacing w:after="40" w:before="40" w:line="276" w:lineRule="auto"/>
        <w:ind w:left="567" w:hanging="283"/>
        <w:jc w:val="both"/>
      </w:pPr>
      <w:r>
        <w:rPr>
          <w:rFonts w:ascii="Arial" w:cs="Arial" w:eastAsia="Arial" w:hAnsi="Arial"/>
          <w:sz w:val="24"/>
          <w:szCs w:val="24"/>
        </w:rPr>
        <w:t xml:space="preserve">•  El dataset muestra señales claras de ser sintético.</w:t>
      </w:r>
    </w:p>
    <w:p w14:paraId="2A0001FE">
      <w:pPr>
        <w:spacing w:after="40" w:before="40" w:line="276" w:lineRule="auto"/>
        <w:ind w:left="567" w:hanging="283"/>
        <w:jc w:val="both"/>
      </w:pPr>
      <w:r>
        <w:rPr>
          <w:rFonts w:ascii="Arial" w:cs="Arial" w:eastAsia="Arial" w:hAnsi="Arial"/>
          <w:sz w:val="24"/>
          <w:szCs w:val="24"/>
        </w:rPr>
        <w:t xml:space="preserve">•  Thyroid_Cancer_Risk es un puntaje redundante y con posible fuga: se excluyó y se usó como baseline del dominio.</w:t>
      </w:r>
    </w:p>
    <w:p w14:paraId="2A0001FF">
      <w:pPr>
        <w:spacing w:after="40" w:before="40" w:line="276" w:lineRule="auto"/>
        <w:ind w:left="567" w:hanging="283"/>
        <w:jc w:val="both"/>
      </w:pPr>
      <w:r>
        <w:rPr>
          <w:rFonts w:ascii="Arial" w:cs="Arial" w:eastAsia="Arial" w:hAnsi="Arial"/>
          <w:sz w:val="24"/>
          <w:szCs w:val="24"/>
        </w:rPr>
        <w:t xml:space="preserve">•  El mejor modelo preliminar es HistGradientBoosting (ROC-AUC 0.700, PR-AUC 0.500), que iguala a la regla del dominio sin usar esa variable.</w:t>
      </w:r>
    </w:p>
    <w:p w14:paraId="2A000200">
      <w:pPr>
        <w:keepNext/>
        <w:spacing w:after="160" w:before="240" w:lineRule="auto"/>
      </w:pPr>
      <w:r>
        <w:rPr>
          <w:b w:val="1"/>
          <w:bCs w:val="1"/>
          <w:sz w:val="32"/>
          <w:szCs w:val="32"/>
        </w:rPr>
        <w:t xml:space="preserve">10.2 Problemas aún no resueltos</w:t>
      </w:r>
    </w:p>
    <w:p w14:paraId="2A000201">
      <w:pPr>
        <w:spacing w:after="40" w:before="40" w:line="276" w:lineRule="auto"/>
        <w:ind w:left="567" w:hanging="283"/>
        <w:jc w:val="both"/>
      </w:pPr>
      <w:r>
        <w:rPr>
          <w:rFonts w:ascii="Arial" w:cs="Arial" w:eastAsia="Arial" w:hAnsi="Arial"/>
          <w:sz w:val="24"/>
          <w:szCs w:val="24"/>
        </w:rPr>
        <w:t xml:space="preserve">•  Definir el umbral de decisión según un costo explícito de falsos negativos frente a falsos positivos.</w:t>
      </w:r>
    </w:p>
    <w:p w14:paraId="2A000202">
      <w:pPr>
        <w:spacing w:after="40" w:before="40" w:line="276" w:lineRule="auto"/>
        <w:ind w:left="567" w:hanging="283"/>
        <w:jc w:val="both"/>
      </w:pPr>
      <w:r>
        <w:rPr>
          <w:rFonts w:ascii="Arial" w:cs="Arial" w:eastAsia="Arial" w:hAnsi="Arial"/>
          <w:sz w:val="24"/>
          <w:szCs w:val="24"/>
        </w:rPr>
        <w:t xml:space="preserve">•  Verificar si existen interacciones entre factores que los modelos aún no aprovechan.</w:t>
      </w:r>
    </w:p>
    <w:p w14:paraId="2A000203">
      <w:pPr>
        <w:spacing w:after="40" w:before="40" w:line="276" w:lineRule="auto"/>
        <w:ind w:left="567" w:hanging="283"/>
        <w:jc w:val="both"/>
      </w:pPr>
      <w:r>
        <w:rPr>
          <w:rFonts w:ascii="Arial" w:cs="Arial" w:eastAsia="Arial" w:hAnsi="Arial"/>
          <w:sz w:val="24"/>
          <w:szCs w:val="24"/>
        </w:rPr>
        <w:t xml:space="preserve">•  Confirmar la autoría y licencia del dataset.</w:t>
      </w:r>
    </w:p>
    <w:p w14:paraId="2A000204">
      <w:pPr>
        <w:keepNext/>
        <w:spacing w:after="160" w:before="240" w:lineRule="auto"/>
      </w:pPr>
      <w:r>
        <w:rPr>
          <w:b w:val="1"/>
          <w:bCs w:val="1"/>
          <w:sz w:val="32"/>
          <w:szCs w:val="32"/>
        </w:rPr>
        <w:t xml:space="preserve">10.3 Limitaciones identificadas</w:t>
      </w:r>
    </w:p>
    <w:p w14:paraId="2A000205">
      <w:pPr>
        <w:spacing w:after="40" w:before="40" w:line="276" w:lineRule="auto"/>
        <w:ind w:left="567" w:hanging="283"/>
        <w:jc w:val="both"/>
      </w:pPr>
      <w:r>
        <w:rPr>
          <w:rFonts w:ascii="Arial" w:cs="Arial" w:eastAsia="Arial" w:hAnsi="Arial"/>
          <w:sz w:val="24"/>
          <w:szCs w:val="24"/>
        </w:rPr>
        <w:t xml:space="preserve">•  Validez externa muy limitada: los resultados no se pueden extrapolar a pacientes reales.</w:t>
      </w:r>
    </w:p>
    <w:p w14:paraId="2A000206">
      <w:pPr>
        <w:spacing w:after="40" w:before="40" w:line="276" w:lineRule="auto"/>
        <w:ind w:left="567" w:hanging="283"/>
        <w:jc w:val="both"/>
      </w:pPr>
      <w:r>
        <w:rPr>
          <w:rFonts w:ascii="Arial" w:cs="Arial" w:eastAsia="Arial" w:hAnsi="Arial"/>
          <w:sz w:val="24"/>
          <w:szCs w:val="24"/>
        </w:rPr>
        <w:t xml:space="preserve">•  Se desconoce el proceso de generación de Diagnosis y de Thyroid_Cancer_Risk.</w:t>
      </w:r>
    </w:p>
    <w:p w14:paraId="2A000207">
      <w:pPr>
        <w:spacing w:after="40" w:before="40" w:line="276" w:lineRule="auto"/>
        <w:ind w:left="567" w:hanging="283"/>
        <w:jc w:val="both"/>
      </w:pPr>
      <w:r>
        <w:rPr>
          <w:rFonts w:ascii="Arial" w:cs="Arial" w:eastAsia="Arial" w:hAnsi="Arial"/>
          <w:sz w:val="24"/>
          <w:szCs w:val="24"/>
        </w:rPr>
        <w:t xml:space="preserve">•  Faltan variables clínicas determinantes (ecografía TI-RADS, citología Bethesda).</w:t>
      </w:r>
    </w:p>
    <w:p w14:paraId="2A000208">
      <w:pPr>
        <w:keepNext/>
        <w:spacing w:after="160" w:before="240" w:lineRule="auto"/>
      </w:pPr>
      <w:r>
        <w:rPr>
          <w:b w:val="1"/>
          <w:bCs w:val="1"/>
          <w:sz w:val="32"/>
          <w:szCs w:val="32"/>
        </w:rPr>
        <w:t xml:space="preserve">10.4 Mejoras y actividades previstas para el TF1</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547"/>
        <w:gridCol w:w="5471"/>
        <w:gridCol w:w="2188"/>
        <w:gridCol w:w="1094"/>
      </w:tblGrid>
      <w:tr>
        <w:trPr>
          <w:tblHeader/>
          <w:cantSplit/>
        </w:trPr>
        <w:tc>
          <w:tcPr>
            <w:tcW w:w="547" w:type="dxa"/>
            <w:shd w:val="clear" w:color="auto" w:fill="1F3864"/>
          </w:tcPr>
          <w:p w14:paraId="2A000209">
            <w:pPr>
              <w:spacing w:after="0" w:before="0" w:line="240" w:lineRule="auto"/>
            </w:pPr>
            <w:r>
              <w:rPr>
                <w:rFonts w:ascii="Arial" w:cs="Arial" w:eastAsia="Arial" w:hAnsi="Arial"/>
                <w:b w:val="1"/>
                <w:bCs w:val="1"/>
                <w:color w:val="FFFFFF"/>
                <w:sz w:val="18"/>
                <w:szCs w:val="18"/>
              </w:rPr>
              <w:t xml:space="preserve">#</w:t>
            </w:r>
          </w:p>
        </w:tc>
        <w:tc>
          <w:tcPr>
            <w:tcW w:w="5471" w:type="dxa"/>
            <w:shd w:val="clear" w:color="auto" w:fill="1F3864"/>
          </w:tcPr>
          <w:p w14:paraId="2A00020A">
            <w:pPr>
              <w:spacing w:after="0" w:before="0" w:line="240" w:lineRule="auto"/>
            </w:pPr>
            <w:r>
              <w:rPr>
                <w:rFonts w:ascii="Arial" w:cs="Arial" w:eastAsia="Arial" w:hAnsi="Arial"/>
                <w:b w:val="1"/>
                <w:bCs w:val="1"/>
                <w:color w:val="FFFFFF"/>
                <w:sz w:val="18"/>
                <w:szCs w:val="18"/>
              </w:rPr>
              <w:t xml:space="preserve">Actividad</w:t>
            </w:r>
          </w:p>
        </w:tc>
        <w:tc>
          <w:tcPr>
            <w:tcW w:w="2188" w:type="dxa"/>
            <w:shd w:val="clear" w:color="auto" w:fill="1F3864"/>
          </w:tcPr>
          <w:p w14:paraId="2A00020B">
            <w:pPr>
              <w:spacing w:after="0" w:before="0" w:line="240" w:lineRule="auto"/>
            </w:pPr>
            <w:r>
              <w:rPr>
                <w:rFonts w:ascii="Arial" w:cs="Arial" w:eastAsia="Arial" w:hAnsi="Arial"/>
                <w:b w:val="1"/>
                <w:bCs w:val="1"/>
                <w:color w:val="FFFFFF"/>
                <w:sz w:val="18"/>
                <w:szCs w:val="18"/>
              </w:rPr>
              <w:t xml:space="preserve">Herramienta</w:t>
            </w:r>
          </w:p>
        </w:tc>
        <w:tc>
          <w:tcPr>
            <w:tcW w:w="1094" w:type="dxa"/>
            <w:shd w:val="clear" w:color="auto" w:fill="1F3864"/>
          </w:tcPr>
          <w:p w14:paraId="2A00020C">
            <w:pPr>
              <w:spacing w:after="0" w:before="0" w:line="240" w:lineRule="auto"/>
            </w:pPr>
            <w:r>
              <w:rPr>
                <w:rFonts w:ascii="Arial" w:cs="Arial" w:eastAsia="Arial" w:hAnsi="Arial"/>
                <w:b w:val="1"/>
                <w:bCs w:val="1"/>
                <w:color w:val="FFFFFF"/>
                <w:sz w:val="18"/>
                <w:szCs w:val="18"/>
              </w:rPr>
              <w:t xml:space="preserve">Semana</w:t>
            </w:r>
          </w:p>
        </w:tc>
      </w:tr>
      <w:tr>
        <w:trPr>
          <w:cantSplit/>
        </w:trPr>
        <w:tc>
          <w:tcPr>
            <w:tcW w:w="547" w:type="dxa"/>
          </w:tcPr>
          <w:p w14:paraId="2A00020D">
            <w:pPr>
              <w:spacing w:after="0" w:before="0" w:line="240" w:lineRule="auto"/>
            </w:pPr>
            <w:r>
              <w:rPr>
                <w:rFonts w:ascii="Arial" w:cs="Arial" w:eastAsia="Arial" w:hAnsi="Arial"/>
                <w:sz w:val="18"/>
                <w:szCs w:val="18"/>
              </w:rPr>
              <w:t xml:space="preserve">1</w:t>
            </w:r>
          </w:p>
        </w:tc>
        <w:tc>
          <w:tcPr>
            <w:tcW w:w="5471" w:type="dxa"/>
          </w:tcPr>
          <w:p w14:paraId="2A00020E">
            <w:pPr>
              <w:spacing w:after="0" w:before="0" w:line="240" w:lineRule="auto"/>
            </w:pPr>
            <w:r>
              <w:rPr>
                <w:rFonts w:ascii="Arial" w:cs="Arial" w:eastAsia="Arial" w:hAnsi="Arial"/>
                <w:sz w:val="18"/>
                <w:szCs w:val="18"/>
              </w:rPr>
              <w:t xml:space="preserve">Ajuste de hiperparámetros con validación cruzada</w:t>
            </w:r>
          </w:p>
        </w:tc>
        <w:tc>
          <w:tcPr>
            <w:tcW w:w="2188" w:type="dxa"/>
          </w:tcPr>
          <w:p w14:paraId="2A00020F">
            <w:pPr>
              <w:spacing w:after="0" w:before="0" w:line="240" w:lineRule="auto"/>
            </w:pPr>
            <w:r>
              <w:rPr>
                <w:rFonts w:ascii="Arial" w:cs="Arial" w:eastAsia="Arial" w:hAnsi="Arial"/>
                <w:sz w:val="18"/>
                <w:szCs w:val="18"/>
              </w:rPr>
              <w:t xml:space="preserve">Optuna</w:t>
            </w:r>
          </w:p>
        </w:tc>
        <w:tc>
          <w:tcPr>
            <w:tcW w:w="1094" w:type="dxa"/>
          </w:tcPr>
          <w:p w14:paraId="2A000210">
            <w:pPr>
              <w:spacing w:after="0" w:before="0" w:line="240" w:lineRule="auto"/>
            </w:pPr>
            <w:r>
              <w:rPr>
                <w:rFonts w:ascii="Arial" w:cs="Arial" w:eastAsia="Arial" w:hAnsi="Arial"/>
                <w:sz w:val="18"/>
                <w:szCs w:val="18"/>
              </w:rPr>
              <w:t xml:space="preserve">8–9</w:t>
            </w:r>
          </w:p>
        </w:tc>
      </w:tr>
      <w:tr>
        <w:trPr>
          <w:cantSplit/>
        </w:trPr>
        <w:tc>
          <w:tcPr>
            <w:tcW w:w="547" w:type="dxa"/>
          </w:tcPr>
          <w:p w14:paraId="2A000211">
            <w:pPr>
              <w:spacing w:after="0" w:before="0" w:line="240" w:lineRule="auto"/>
            </w:pPr>
            <w:r>
              <w:rPr>
                <w:rFonts w:ascii="Arial" w:cs="Arial" w:eastAsia="Arial" w:hAnsi="Arial"/>
                <w:sz w:val="18"/>
                <w:szCs w:val="18"/>
              </w:rPr>
              <w:t xml:space="preserve">2</w:t>
            </w:r>
          </w:p>
        </w:tc>
        <w:tc>
          <w:tcPr>
            <w:tcW w:w="5471" w:type="dxa"/>
          </w:tcPr>
          <w:p w14:paraId="2A000212">
            <w:pPr>
              <w:spacing w:after="0" w:before="0" w:line="240" w:lineRule="auto"/>
            </w:pPr>
            <w:r>
              <w:rPr>
                <w:rFonts w:ascii="Arial" w:cs="Arial" w:eastAsia="Arial" w:hAnsi="Arial"/>
                <w:sz w:val="18"/>
                <w:szCs w:val="18"/>
              </w:rPr>
              <w:t xml:space="preserve">Registro de experimentos (configuración → métricas)</w:t>
            </w:r>
          </w:p>
        </w:tc>
        <w:tc>
          <w:tcPr>
            <w:tcW w:w="2188" w:type="dxa"/>
          </w:tcPr>
          <w:p w14:paraId="2A000213">
            <w:pPr>
              <w:spacing w:after="0" w:before="0" w:line="240" w:lineRule="auto"/>
            </w:pPr>
            <w:r>
              <w:rPr>
                <w:rFonts w:ascii="Arial" w:cs="Arial" w:eastAsia="Arial" w:hAnsi="Arial"/>
                <w:sz w:val="18"/>
                <w:szCs w:val="18"/>
              </w:rPr>
              <w:t xml:space="preserve">MLflow</w:t>
            </w:r>
          </w:p>
        </w:tc>
        <w:tc>
          <w:tcPr>
            <w:tcW w:w="1094" w:type="dxa"/>
          </w:tcPr>
          <w:p w14:paraId="2A000214">
            <w:pPr>
              <w:spacing w:after="0" w:before="0" w:line="240" w:lineRule="auto"/>
            </w:pPr>
            <w:r>
              <w:rPr>
                <w:rFonts w:ascii="Arial" w:cs="Arial" w:eastAsia="Arial" w:hAnsi="Arial"/>
                <w:sz w:val="18"/>
                <w:szCs w:val="18"/>
              </w:rPr>
              <w:t xml:space="preserve">8–9</w:t>
            </w:r>
          </w:p>
        </w:tc>
      </w:tr>
      <w:tr>
        <w:trPr>
          <w:cantSplit/>
        </w:trPr>
        <w:tc>
          <w:tcPr>
            <w:tcW w:w="547" w:type="dxa"/>
          </w:tcPr>
          <w:p w14:paraId="2A000215">
            <w:pPr>
              <w:spacing w:after="0" w:before="0" w:line="240" w:lineRule="auto"/>
            </w:pPr>
            <w:r>
              <w:rPr>
                <w:rFonts w:ascii="Arial" w:cs="Arial" w:eastAsia="Arial" w:hAnsi="Arial"/>
                <w:sz w:val="18"/>
                <w:szCs w:val="18"/>
              </w:rPr>
              <w:t xml:space="preserve">3</w:t>
            </w:r>
          </w:p>
        </w:tc>
        <w:tc>
          <w:tcPr>
            <w:tcW w:w="5471" w:type="dxa"/>
          </w:tcPr>
          <w:p w14:paraId="2A000216">
            <w:pPr>
              <w:spacing w:after="0" w:before="0" w:line="240" w:lineRule="auto"/>
            </w:pPr>
            <w:r>
              <w:rPr>
                <w:rFonts w:ascii="Arial" w:cs="Arial" w:eastAsia="Arial" w:hAnsi="Arial"/>
                <w:sz w:val="18"/>
                <w:szCs w:val="18"/>
              </w:rPr>
              <w:t xml:space="preserve">Selección de umbral por costo y calibración de probabilidades</w:t>
            </w:r>
          </w:p>
        </w:tc>
        <w:tc>
          <w:tcPr>
            <w:tcW w:w="2188" w:type="dxa"/>
          </w:tcPr>
          <w:p w14:paraId="2A000217">
            <w:pPr>
              <w:spacing w:after="0" w:before="0" w:line="240" w:lineRule="auto"/>
            </w:pPr>
            <w:r>
              <w:rPr>
                <w:rFonts w:ascii="Arial" w:cs="Arial" w:eastAsia="Arial" w:hAnsi="Arial"/>
                <w:sz w:val="18"/>
                <w:szCs w:val="18"/>
              </w:rPr>
              <w:t xml:space="preserve">scikit-learn</w:t>
            </w:r>
          </w:p>
        </w:tc>
        <w:tc>
          <w:tcPr>
            <w:tcW w:w="1094" w:type="dxa"/>
          </w:tcPr>
          <w:p w14:paraId="2A000218">
            <w:pPr>
              <w:spacing w:after="0" w:before="0" w:line="240" w:lineRule="auto"/>
            </w:pPr>
            <w:r>
              <w:rPr>
                <w:rFonts w:ascii="Arial" w:cs="Arial" w:eastAsia="Arial" w:hAnsi="Arial"/>
                <w:sz w:val="18"/>
                <w:szCs w:val="18"/>
              </w:rPr>
              <w:t xml:space="preserve">10</w:t>
            </w:r>
          </w:p>
        </w:tc>
      </w:tr>
      <w:tr>
        <w:trPr>
          <w:cantSplit/>
        </w:trPr>
        <w:tc>
          <w:tcPr>
            <w:tcW w:w="547" w:type="dxa"/>
          </w:tcPr>
          <w:p w14:paraId="2A000219">
            <w:pPr>
              <w:spacing w:after="0" w:before="0" w:line="240" w:lineRule="auto"/>
            </w:pPr>
            <w:r>
              <w:rPr>
                <w:rFonts w:ascii="Arial" w:cs="Arial" w:eastAsia="Arial" w:hAnsi="Arial"/>
                <w:sz w:val="18"/>
                <w:szCs w:val="18"/>
              </w:rPr>
              <w:t xml:space="preserve">4</w:t>
            </w:r>
          </w:p>
        </w:tc>
        <w:tc>
          <w:tcPr>
            <w:tcW w:w="5471" w:type="dxa"/>
          </w:tcPr>
          <w:p w14:paraId="2A00021A">
            <w:pPr>
              <w:spacing w:after="0" w:before="0" w:line="240" w:lineRule="auto"/>
            </w:pPr>
            <w:r>
              <w:rPr>
                <w:rFonts w:ascii="Arial" w:cs="Arial" w:eastAsia="Arial" w:hAnsi="Arial"/>
                <w:sz w:val="18"/>
                <w:szCs w:val="18"/>
              </w:rPr>
              <w:t xml:space="preserve">Interpretabilidad global y local</w:t>
            </w:r>
          </w:p>
        </w:tc>
        <w:tc>
          <w:tcPr>
            <w:tcW w:w="2188" w:type="dxa"/>
          </w:tcPr>
          <w:p w14:paraId="2A00021B">
            <w:pPr>
              <w:spacing w:after="0" w:before="0" w:line="240" w:lineRule="auto"/>
            </w:pPr>
            <w:r>
              <w:rPr>
                <w:rFonts w:ascii="Arial" w:cs="Arial" w:eastAsia="Arial" w:hAnsi="Arial"/>
                <w:sz w:val="18"/>
                <w:szCs w:val="18"/>
              </w:rPr>
              <w:t xml:space="preserve">SHAP</w:t>
            </w:r>
          </w:p>
        </w:tc>
        <w:tc>
          <w:tcPr>
            <w:tcW w:w="1094" w:type="dxa"/>
          </w:tcPr>
          <w:p w14:paraId="2A00021C">
            <w:pPr>
              <w:spacing w:after="0" w:before="0" w:line="240" w:lineRule="auto"/>
            </w:pPr>
            <w:r>
              <w:rPr>
                <w:rFonts w:ascii="Arial" w:cs="Arial" w:eastAsia="Arial" w:hAnsi="Arial"/>
                <w:sz w:val="18"/>
                <w:szCs w:val="18"/>
              </w:rPr>
              <w:t xml:space="preserve">11</w:t>
            </w:r>
          </w:p>
        </w:tc>
      </w:tr>
      <w:tr>
        <w:trPr>
          <w:cantSplit/>
        </w:trPr>
        <w:tc>
          <w:tcPr>
            <w:tcW w:w="547" w:type="dxa"/>
          </w:tcPr>
          <w:p w14:paraId="2A00021D">
            <w:pPr>
              <w:spacing w:after="0" w:before="0" w:line="240" w:lineRule="auto"/>
            </w:pPr>
            <w:r>
              <w:rPr>
                <w:rFonts w:ascii="Arial" w:cs="Arial" w:eastAsia="Arial" w:hAnsi="Arial"/>
                <w:sz w:val="18"/>
                <w:szCs w:val="18"/>
              </w:rPr>
              <w:t xml:space="preserve">5</w:t>
            </w:r>
          </w:p>
        </w:tc>
        <w:tc>
          <w:tcPr>
            <w:tcW w:w="5471" w:type="dxa"/>
          </w:tcPr>
          <w:p w14:paraId="2A00021E">
            <w:pPr>
              <w:spacing w:after="0" w:before="0" w:line="240" w:lineRule="auto"/>
            </w:pPr>
            <w:r>
              <w:rPr>
                <w:rFonts w:ascii="Arial" w:cs="Arial" w:eastAsia="Arial" w:hAnsi="Arial"/>
                <w:sz w:val="18"/>
                <w:szCs w:val="18"/>
              </w:rPr>
              <w:t xml:space="preserve">Análisis de errores (falsos negativos con perfil de riesgo bajo)</w:t>
            </w:r>
          </w:p>
        </w:tc>
        <w:tc>
          <w:tcPr>
            <w:tcW w:w="2188" w:type="dxa"/>
          </w:tcPr>
          <w:p w14:paraId="2A00021F">
            <w:pPr>
              <w:spacing w:after="0" w:before="0" w:line="240" w:lineRule="auto"/>
            </w:pPr>
            <w:r>
              <w:rPr>
                <w:rFonts w:ascii="Arial" w:cs="Arial" w:eastAsia="Arial" w:hAnsi="Arial"/>
                <w:sz w:val="18"/>
                <w:szCs w:val="18"/>
              </w:rPr>
              <w:t xml:space="preserve">pandas, SHAP</w:t>
            </w:r>
          </w:p>
        </w:tc>
        <w:tc>
          <w:tcPr>
            <w:tcW w:w="1094" w:type="dxa"/>
          </w:tcPr>
          <w:p w14:paraId="2A000220">
            <w:pPr>
              <w:spacing w:after="0" w:before="0" w:line="240" w:lineRule="auto"/>
            </w:pPr>
            <w:r>
              <w:rPr>
                <w:rFonts w:ascii="Arial" w:cs="Arial" w:eastAsia="Arial" w:hAnsi="Arial"/>
                <w:sz w:val="18"/>
                <w:szCs w:val="18"/>
              </w:rPr>
              <w:t xml:space="preserve">11–12</w:t>
            </w:r>
          </w:p>
        </w:tc>
      </w:tr>
      <w:tr>
        <w:trPr>
          <w:cantSplit/>
        </w:trPr>
        <w:tc>
          <w:tcPr>
            <w:tcW w:w="547" w:type="dxa"/>
          </w:tcPr>
          <w:p w14:paraId="2A000221">
            <w:pPr>
              <w:spacing w:after="0" w:before="0" w:line="240" w:lineRule="auto"/>
            </w:pPr>
            <w:r>
              <w:rPr>
                <w:rFonts w:ascii="Arial" w:cs="Arial" w:eastAsia="Arial" w:hAnsi="Arial"/>
                <w:sz w:val="18"/>
                <w:szCs w:val="18"/>
              </w:rPr>
              <w:t xml:space="preserve">6</w:t>
            </w:r>
          </w:p>
        </w:tc>
        <w:tc>
          <w:tcPr>
            <w:tcW w:w="5471" w:type="dxa"/>
          </w:tcPr>
          <w:p w14:paraId="2A000222">
            <w:pPr>
              <w:spacing w:after="0" w:before="0" w:line="240" w:lineRule="auto"/>
            </w:pPr>
            <w:r>
              <w:rPr>
                <w:rFonts w:ascii="Arial" w:cs="Arial" w:eastAsia="Arial" w:hAnsi="Arial"/>
                <w:sz w:val="18"/>
                <w:szCs w:val="18"/>
              </w:rPr>
              <w:t xml:space="preserve">Técnica adicional justificada: clustering de perfiles de riesgo</w:t>
            </w:r>
          </w:p>
        </w:tc>
        <w:tc>
          <w:tcPr>
            <w:tcW w:w="2188" w:type="dxa"/>
          </w:tcPr>
          <w:p w14:paraId="2A000223">
            <w:pPr>
              <w:spacing w:after="0" w:before="0" w:line="240" w:lineRule="auto"/>
            </w:pPr>
            <w:r>
              <w:rPr>
                <w:rFonts w:ascii="Arial" w:cs="Arial" w:eastAsia="Arial" w:hAnsi="Arial"/>
                <w:sz w:val="18"/>
                <w:szCs w:val="18"/>
              </w:rPr>
              <w:t xml:space="preserve">K-Means / UMAP</w:t>
            </w:r>
          </w:p>
        </w:tc>
        <w:tc>
          <w:tcPr>
            <w:tcW w:w="1094" w:type="dxa"/>
          </w:tcPr>
          <w:p w14:paraId="2A000224">
            <w:pPr>
              <w:spacing w:after="0" w:before="0" w:line="240" w:lineRule="auto"/>
            </w:pPr>
            <w:r>
              <w:rPr>
                <w:rFonts w:ascii="Arial" w:cs="Arial" w:eastAsia="Arial" w:hAnsi="Arial"/>
                <w:sz w:val="18"/>
                <w:szCs w:val="18"/>
              </w:rPr>
              <w:t xml:space="preserve">12</w:t>
            </w:r>
          </w:p>
        </w:tc>
      </w:tr>
      <w:tr>
        <w:trPr>
          <w:cantSplit/>
        </w:trPr>
        <w:tc>
          <w:tcPr>
            <w:tcW w:w="547" w:type="dxa"/>
          </w:tcPr>
          <w:p w14:paraId="2A000225">
            <w:pPr>
              <w:spacing w:after="0" w:before="0" w:line="240" w:lineRule="auto"/>
            </w:pPr>
            <w:r>
              <w:rPr>
                <w:rFonts w:ascii="Arial" w:cs="Arial" w:eastAsia="Arial" w:hAnsi="Arial"/>
                <w:sz w:val="18"/>
                <w:szCs w:val="18"/>
              </w:rPr>
              <w:t xml:space="preserve">7</w:t>
            </w:r>
          </w:p>
        </w:tc>
        <w:tc>
          <w:tcPr>
            <w:tcW w:w="5471" w:type="dxa"/>
          </w:tcPr>
          <w:p w14:paraId="2A000226">
            <w:pPr>
              <w:spacing w:after="0" w:before="0" w:line="240" w:lineRule="auto"/>
            </w:pPr>
            <w:r>
              <w:rPr>
                <w:rFonts w:ascii="Arial" w:cs="Arial" w:eastAsia="Arial" w:hAnsi="Arial"/>
                <w:sz w:val="18"/>
                <w:szCs w:val="18"/>
              </w:rPr>
              <w:t xml:space="preserve">Evaluación final única sobre test</w:t>
            </w:r>
          </w:p>
        </w:tc>
        <w:tc>
          <w:tcPr>
            <w:tcW w:w="2188" w:type="dxa"/>
          </w:tcPr>
          <w:p w14:paraId="2A000227">
            <w:pPr>
              <w:spacing w:after="0" w:before="0" w:line="240" w:lineRule="auto"/>
            </w:pPr>
            <w:r>
              <w:rPr>
                <w:rFonts w:ascii="Arial" w:cs="Arial" w:eastAsia="Arial" w:hAnsi="Arial"/>
                <w:sz w:val="18"/>
                <w:szCs w:val="18"/>
              </w:rPr>
              <w:t xml:space="preserve">scikit-learn</w:t>
            </w:r>
          </w:p>
        </w:tc>
        <w:tc>
          <w:tcPr>
            <w:tcW w:w="1094" w:type="dxa"/>
          </w:tcPr>
          <w:p w14:paraId="2A000228">
            <w:pPr>
              <w:spacing w:after="0" w:before="0" w:line="240" w:lineRule="auto"/>
            </w:pPr>
            <w:r>
              <w:rPr>
                <w:rFonts w:ascii="Arial" w:cs="Arial" w:eastAsia="Arial" w:hAnsi="Arial"/>
                <w:sz w:val="18"/>
                <w:szCs w:val="18"/>
              </w:rPr>
              <w:t xml:space="preserve">13</w:t>
            </w:r>
          </w:p>
        </w:tc>
      </w:tr>
      <w:tr>
        <w:trPr>
          <w:cantSplit/>
        </w:trPr>
        <w:tc>
          <w:tcPr>
            <w:tcW w:w="547" w:type="dxa"/>
          </w:tcPr>
          <w:p w14:paraId="2A000229">
            <w:pPr>
              <w:spacing w:after="0" w:before="0" w:line="240" w:lineRule="auto"/>
            </w:pPr>
            <w:r>
              <w:rPr>
                <w:rFonts w:ascii="Arial" w:cs="Arial" w:eastAsia="Arial" w:hAnsi="Arial"/>
                <w:sz w:val="18"/>
                <w:szCs w:val="18"/>
              </w:rPr>
              <w:t xml:space="preserve">8</w:t>
            </w:r>
          </w:p>
        </w:tc>
        <w:tc>
          <w:tcPr>
            <w:tcW w:w="5471" w:type="dxa"/>
          </w:tcPr>
          <w:p w14:paraId="2A00022A">
            <w:pPr>
              <w:spacing w:after="0" w:before="0" w:line="240" w:lineRule="auto"/>
            </w:pPr>
            <w:r>
              <w:rPr>
                <w:rFonts w:ascii="Arial" w:cs="Arial" w:eastAsia="Arial" w:hAnsi="Arial"/>
                <w:sz w:val="18"/>
                <w:szCs w:val="18"/>
              </w:rPr>
              <w:t xml:space="preserve">Demo de uso (formulario → probabilidad de malignidad)</w:t>
            </w:r>
          </w:p>
        </w:tc>
        <w:tc>
          <w:tcPr>
            <w:tcW w:w="2188" w:type="dxa"/>
          </w:tcPr>
          <w:p w14:paraId="2A00022B">
            <w:pPr>
              <w:spacing w:after="0" w:before="0" w:line="240" w:lineRule="auto"/>
            </w:pPr>
            <w:r>
              <w:rPr>
                <w:rFonts w:ascii="Arial" w:cs="Arial" w:eastAsia="Arial" w:hAnsi="Arial"/>
                <w:sz w:val="18"/>
                <w:szCs w:val="18"/>
              </w:rPr>
              <w:t xml:space="preserve">Streamlit</w:t>
            </w:r>
          </w:p>
        </w:tc>
        <w:tc>
          <w:tcPr>
            <w:tcW w:w="1094" w:type="dxa"/>
          </w:tcPr>
          <w:p w14:paraId="2A00022C">
            <w:pPr>
              <w:spacing w:after="0" w:before="0" w:line="240" w:lineRule="auto"/>
            </w:pPr>
            <w:r>
              <w:rPr>
                <w:rFonts w:ascii="Arial" w:cs="Arial" w:eastAsia="Arial" w:hAnsi="Arial"/>
                <w:sz w:val="18"/>
                <w:szCs w:val="18"/>
              </w:rPr>
              <w:t xml:space="preserve">13–14</w:t>
            </w:r>
          </w:p>
        </w:tc>
      </w:tr>
      <w:tr>
        <w:trPr>
          <w:cantSplit/>
        </w:trPr>
        <w:tc>
          <w:tcPr>
            <w:tcW w:w="547" w:type="dxa"/>
          </w:tcPr>
          <w:p w14:paraId="2A00022D">
            <w:pPr>
              <w:spacing w:after="0" w:before="0" w:line="240" w:lineRule="auto"/>
            </w:pPr>
            <w:r>
              <w:rPr>
                <w:rFonts w:ascii="Arial" w:cs="Arial" w:eastAsia="Arial" w:hAnsi="Arial"/>
                <w:sz w:val="18"/>
                <w:szCs w:val="18"/>
              </w:rPr>
              <w:t xml:space="preserve">9</w:t>
            </w:r>
          </w:p>
        </w:tc>
        <w:tc>
          <w:tcPr>
            <w:tcW w:w="5471" w:type="dxa"/>
          </w:tcPr>
          <w:p w14:paraId="2A00022E">
            <w:pPr>
              <w:spacing w:after="0" w:before="0" w:line="240" w:lineRule="auto"/>
            </w:pPr>
            <w:r>
              <w:rPr>
                <w:rFonts w:ascii="Arial" w:cs="Arial" w:eastAsia="Arial" w:hAnsi="Arial"/>
                <w:sz w:val="18"/>
                <w:szCs w:val="18"/>
              </w:rPr>
              <w:t xml:space="preserve">README final, documentación y presentación</w:t>
            </w:r>
          </w:p>
        </w:tc>
        <w:tc>
          <w:tcPr>
            <w:tcW w:w="2188" w:type="dxa"/>
          </w:tcPr>
          <w:p w14:paraId="2A00022F">
            <w:pPr>
              <w:spacing w:after="0" w:before="0" w:line="240" w:lineRule="auto"/>
            </w:pPr>
            <w:r>
              <w:rPr>
                <w:rFonts w:ascii="Arial" w:cs="Arial" w:eastAsia="Arial" w:hAnsi="Arial"/>
                <w:sz w:val="18"/>
                <w:szCs w:val="18"/>
              </w:rPr>
              <w:t xml:space="preserve">—</w:t>
            </w:r>
          </w:p>
        </w:tc>
        <w:tc>
          <w:tcPr>
            <w:tcW w:w="1094" w:type="dxa"/>
          </w:tcPr>
          <w:p w14:paraId="2A000230">
            <w:pPr>
              <w:spacing w:after="0" w:before="0" w:line="240" w:lineRule="auto"/>
            </w:pPr>
            <w:r>
              <w:rPr>
                <w:rFonts w:ascii="Arial" w:cs="Arial" w:eastAsia="Arial" w:hAnsi="Arial"/>
                <w:sz w:val="18"/>
                <w:szCs w:val="18"/>
              </w:rPr>
              <w:t xml:space="preserve">14–15</w:t>
            </w:r>
          </w:p>
        </w:tc>
      </w:tr>
    </w:tbl>
    <w:p w14:paraId="2A000231">
      <w:pPr>
        <w:spacing w:after="60" w:before="0" w:line="276" w:lineRule="auto"/>
        <w:jc w:val="both"/>
      </w:pPr>
    </w:p>
    <w:p w14:paraId="2A000232">
      <w:pPr>
        <w:keepNext/>
        <w:spacing w:after="160" w:before="240" w:lineRule="auto"/>
      </w:pPr>
      <w:r>
        <w:rPr>
          <w:b w:val="1"/>
          <w:bCs w:val="1"/>
          <w:sz w:val="32"/>
          <w:szCs w:val="32"/>
        </w:rPr>
        <w:t xml:space="preserve">10.5 Declaración de uso de IA generativa</w:t>
      </w:r>
    </w:p>
    <w:p w14:paraId="2A000233">
      <w:pPr>
        <w:spacing w:after="120" w:before="120" w:line="276" w:lineRule="auto"/>
        <w:jc w:val="both"/>
      </w:pPr>
      <w:r>
        <w:rPr>
          <w:rFonts w:ascii="Arial" w:cs="Arial" w:eastAsia="Arial" w:hAnsi="Arial"/>
          <w:sz w:val="24"/>
          <w:szCs w:val="24"/>
        </w:rPr>
        <w:t xml:space="preserve">Se utilizó un asistente de IA generativa (Claude) como apoyo para organizar el código, la estructura del repositorio y la redacción del informe. El grupo revisó, ejecutó y validó todos los resultados y es responsable de su análisis e interpretación.</w:t>
      </w:r>
    </w:p>
    <w:p w14:paraId="2A000234">
      <w:pPr>
        <w:spacing w:after="240" w:before="240" w:lineRule="auto"/>
      </w:pPr>
      <w:r>
        <w:br w:type="page"/>
      </w:r>
      <w:r>
        <w:rPr>
          <w:b w:val="1"/>
          <w:bCs w:val="1"/>
          <w:sz w:val="36"/>
          <w:szCs w:val="36"/>
        </w:rPr>
        <w:t xml:space="preserve">Glosario</w:t>
      </w:r>
    </w:p>
    <w:p w14:paraId="2A000235">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Baseline:</w:t>
      </w:r>
      <w:r>
        <w:rPr>
          <w:rFonts w:ascii="Arial" w:cs="Arial" w:eastAsia="Arial" w:hAnsi="Arial"/>
          <w:sz w:val="24"/>
          <w:szCs w:val="24"/>
        </w:rPr>
        <w:t xml:space="preserve"> modelo o regla simple que sirve como referencia mínima de desempeño.</w:t>
      </w:r>
    </w:p>
    <w:p w14:paraId="2A000236">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Data leakage (fuga de información):</w:t>
      </w:r>
      <w:r>
        <w:rPr>
          <w:rFonts w:ascii="Arial" w:cs="Arial" w:eastAsia="Arial" w:hAnsi="Arial"/>
          <w:sz w:val="24"/>
          <w:szCs w:val="24"/>
        </w:rPr>
        <w:t xml:space="preserve"> uso, durante el entrenamiento, de información que no estaría disponible al momento de predecir.</w:t>
      </w:r>
    </w:p>
    <w:p w14:paraId="2A000237">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Estratificación:</w:t>
      </w:r>
      <w:r>
        <w:rPr>
          <w:rFonts w:ascii="Arial" w:cs="Arial" w:eastAsia="Arial" w:hAnsi="Arial"/>
          <w:sz w:val="24"/>
          <w:szCs w:val="24"/>
        </w:rPr>
        <w:t xml:space="preserve"> separación de datos que mantiene la proporción de clases en cada subconjunto.</w:t>
      </w:r>
    </w:p>
    <w:p w14:paraId="2A000238">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One-Hot Encoding:</w:t>
      </w:r>
      <w:r>
        <w:rPr>
          <w:rFonts w:ascii="Arial" w:cs="Arial" w:eastAsia="Arial" w:hAnsi="Arial"/>
          <w:sz w:val="24"/>
          <w:szCs w:val="24"/>
        </w:rPr>
        <w:t xml:space="preserve"> representación de una variable categórica mediante columnas binarias.</w:t>
      </w:r>
    </w:p>
    <w:p w14:paraId="2A000239">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Pipeline:</w:t>
      </w:r>
      <w:r>
        <w:rPr>
          <w:rFonts w:ascii="Arial" w:cs="Arial" w:eastAsia="Arial" w:hAnsi="Arial"/>
          <w:sz w:val="24"/>
          <w:szCs w:val="24"/>
        </w:rPr>
        <w:t xml:space="preserve"> secuencia encadenada de transformaciones y modelo que se ajusta y aplica como una sola unidad.</w:t>
      </w:r>
    </w:p>
    <w:p w14:paraId="2A00023A">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Recall (sensibilidad):</w:t>
      </w:r>
      <w:r>
        <w:rPr>
          <w:rFonts w:ascii="Arial" w:cs="Arial" w:eastAsia="Arial" w:hAnsi="Arial"/>
          <w:sz w:val="24"/>
          <w:szCs w:val="24"/>
        </w:rPr>
        <w:t xml:space="preserve"> proporción de casos positivos reales que el modelo detecta.</w:t>
      </w:r>
    </w:p>
    <w:p w14:paraId="2A00023B">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Precisión:</w:t>
      </w:r>
      <w:r>
        <w:rPr>
          <w:rFonts w:ascii="Arial" w:cs="Arial" w:eastAsia="Arial" w:hAnsi="Arial"/>
          <w:sz w:val="24"/>
          <w:szCs w:val="24"/>
        </w:rPr>
        <w:t xml:space="preserve"> proporción de predicciones positivas que son correctas.</w:t>
      </w:r>
    </w:p>
    <w:p w14:paraId="2A00023C">
      <w:pPr>
        <w:spacing w:after="40" w:before="40" w:line="276" w:lineRule="auto"/>
        <w:ind w:left="567" w:hanging="283"/>
        <w:jc w:val="both"/>
      </w:pPr>
      <w:r>
        <w:rPr>
          <w:rFonts w:ascii="Arial" w:cs="Arial" w:eastAsia="Arial" w:hAnsi="Arial"/>
          <w:sz w:val="24"/>
          <w:szCs w:val="24"/>
        </w:rPr>
        <w:t xml:space="preserve">•  </w:t>
      </w:r>
      <w:r>
        <w:rPr>
          <w:rFonts w:ascii="Arial" w:cs="Arial" w:eastAsia="Arial" w:hAnsi="Arial"/>
          <w:b w:val="1"/>
          <w:bCs w:val="1"/>
          <w:sz w:val="24"/>
          <w:szCs w:val="24"/>
        </w:rPr>
        <w:t xml:space="preserve">Especificidad:</w:t>
      </w:r>
      <w:r>
        <w:rPr>
          <w:rFonts w:ascii="Arial" w:cs="Arial" w:eastAsia="Arial" w:hAnsi="Arial"/>
          <w:sz w:val="24"/>
          <w:szCs w:val="24"/>
        </w:rPr>
        <w:t xml:space="preserve"> proporción de casos negativos reales correctamente identificados.</w:t>
      </w:r>
    </w:p>
    <w:p w14:paraId="2A00023D">
      <w:pPr>
        <w:spacing w:after="240" w:before="240" w:lineRule="auto"/>
      </w:pPr>
      <w:r>
        <w:rPr>
          <w:b w:val="1"/>
          <w:bCs w:val="1"/>
          <w:sz w:val="36"/>
          <w:szCs w:val="36"/>
        </w:rPr>
        <w:t xml:space="preserve">Siglario</w:t>
      </w:r>
    </w:p>
    <w:tbl>
      <w:tblPr>
        <w:tblW w:w="93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40" w:type="dxa"/>
          <w:left w:w="80" w:type="dxa"/>
          <w:bottom w:w="40" w:type="dxa"/>
          <w:right w:w="80" w:type="dxa"/>
        </w:tblCellMar>
      </w:tblPr>
      <w:tblGrid>
        <w:gridCol w:w="2067"/>
        <w:gridCol w:w="7233"/>
      </w:tblGrid>
      <w:tr>
        <w:trPr>
          <w:tblHeader/>
          <w:cantSplit/>
        </w:trPr>
        <w:tc>
          <w:tcPr>
            <w:tcW w:w="2067" w:type="dxa"/>
            <w:shd w:val="clear" w:color="auto" w:fill="1F3864"/>
          </w:tcPr>
          <w:p w14:paraId="2A00023E">
            <w:pPr>
              <w:spacing w:after="0" w:before="0" w:line="240" w:lineRule="auto"/>
            </w:pPr>
            <w:r>
              <w:rPr>
                <w:rFonts w:ascii="Arial" w:cs="Arial" w:eastAsia="Arial" w:hAnsi="Arial"/>
                <w:b w:val="1"/>
                <w:bCs w:val="1"/>
                <w:color w:val="FFFFFF"/>
                <w:sz w:val="18"/>
                <w:szCs w:val="18"/>
              </w:rPr>
              <w:t xml:space="preserve">Sigla</w:t>
            </w:r>
          </w:p>
        </w:tc>
        <w:tc>
          <w:tcPr>
            <w:tcW w:w="7233" w:type="dxa"/>
            <w:shd w:val="clear" w:color="auto" w:fill="1F3864"/>
          </w:tcPr>
          <w:p w14:paraId="2A00023F">
            <w:pPr>
              <w:spacing w:after="0" w:before="0" w:line="240" w:lineRule="auto"/>
            </w:pPr>
            <w:r>
              <w:rPr>
                <w:rFonts w:ascii="Arial" w:cs="Arial" w:eastAsia="Arial" w:hAnsi="Arial"/>
                <w:b w:val="1"/>
                <w:bCs w:val="1"/>
                <w:color w:val="FFFFFF"/>
                <w:sz w:val="18"/>
                <w:szCs w:val="18"/>
              </w:rPr>
              <w:t xml:space="preserve">Significado</w:t>
            </w:r>
          </w:p>
        </w:tc>
      </w:tr>
      <w:tr>
        <w:trPr>
          <w:cantSplit/>
        </w:trPr>
        <w:tc>
          <w:tcPr>
            <w:tcW w:w="2067" w:type="dxa"/>
          </w:tcPr>
          <w:p w14:paraId="2A000240">
            <w:pPr>
              <w:spacing w:after="0" w:before="0" w:line="240" w:lineRule="auto"/>
            </w:pPr>
            <w:r>
              <w:rPr>
                <w:rFonts w:ascii="Arial" w:cs="Arial" w:eastAsia="Arial" w:hAnsi="Arial"/>
                <w:sz w:val="18"/>
                <w:szCs w:val="18"/>
              </w:rPr>
              <w:t xml:space="preserve">AUC</w:t>
            </w:r>
          </w:p>
        </w:tc>
        <w:tc>
          <w:tcPr>
            <w:tcW w:w="7233" w:type="dxa"/>
          </w:tcPr>
          <w:p w14:paraId="2A000241">
            <w:pPr>
              <w:spacing w:after="0" w:before="0" w:line="240" w:lineRule="auto"/>
            </w:pPr>
            <w:r>
              <w:rPr>
                <w:rFonts w:ascii="Arial" w:cs="Arial" w:eastAsia="Arial" w:hAnsi="Arial"/>
                <w:sz w:val="18"/>
                <w:szCs w:val="18"/>
              </w:rPr>
              <w:t xml:space="preserve">Area Under the Curve (área bajo la curva)</w:t>
            </w:r>
          </w:p>
        </w:tc>
      </w:tr>
      <w:tr>
        <w:trPr>
          <w:cantSplit/>
        </w:trPr>
        <w:tc>
          <w:tcPr>
            <w:tcW w:w="2067" w:type="dxa"/>
          </w:tcPr>
          <w:p w14:paraId="2A000242">
            <w:pPr>
              <w:spacing w:after="0" w:before="0" w:line="240" w:lineRule="auto"/>
            </w:pPr>
            <w:r>
              <w:rPr>
                <w:rFonts w:ascii="Arial" w:cs="Arial" w:eastAsia="Arial" w:hAnsi="Arial"/>
                <w:sz w:val="18"/>
                <w:szCs w:val="18"/>
              </w:rPr>
              <w:t xml:space="preserve">CV</w:t>
            </w:r>
          </w:p>
        </w:tc>
        <w:tc>
          <w:tcPr>
            <w:tcW w:w="7233" w:type="dxa"/>
          </w:tcPr>
          <w:p w14:paraId="2A000243">
            <w:pPr>
              <w:spacing w:after="0" w:before="0" w:line="240" w:lineRule="auto"/>
            </w:pPr>
            <w:r>
              <w:rPr>
                <w:rFonts w:ascii="Arial" w:cs="Arial" w:eastAsia="Arial" w:hAnsi="Arial"/>
                <w:sz w:val="18"/>
                <w:szCs w:val="18"/>
              </w:rPr>
              <w:t xml:space="preserve">Cross-Validation (validación cruzada)</w:t>
            </w:r>
          </w:p>
        </w:tc>
      </w:tr>
      <w:tr>
        <w:trPr>
          <w:cantSplit/>
        </w:trPr>
        <w:tc>
          <w:tcPr>
            <w:tcW w:w="2067" w:type="dxa"/>
          </w:tcPr>
          <w:p w14:paraId="2A000244">
            <w:pPr>
              <w:spacing w:after="0" w:before="0" w:line="240" w:lineRule="auto"/>
            </w:pPr>
            <w:r>
              <w:rPr>
                <w:rFonts w:ascii="Arial" w:cs="Arial" w:eastAsia="Arial" w:hAnsi="Arial"/>
                <w:sz w:val="18"/>
                <w:szCs w:val="18"/>
              </w:rPr>
              <w:t xml:space="preserve">EDA</w:t>
            </w:r>
          </w:p>
        </w:tc>
        <w:tc>
          <w:tcPr>
            <w:tcW w:w="7233" w:type="dxa"/>
          </w:tcPr>
          <w:p w14:paraId="2A000245">
            <w:pPr>
              <w:spacing w:after="0" w:before="0" w:line="240" w:lineRule="auto"/>
            </w:pPr>
            <w:r>
              <w:rPr>
                <w:rFonts w:ascii="Arial" w:cs="Arial" w:eastAsia="Arial" w:hAnsi="Arial"/>
                <w:sz w:val="18"/>
                <w:szCs w:val="18"/>
              </w:rPr>
              <w:t xml:space="preserve">Exploratory Data Analysis (análisis exploratorio de datos)</w:t>
            </w:r>
          </w:p>
        </w:tc>
      </w:tr>
      <w:tr>
        <w:trPr>
          <w:cantSplit/>
        </w:trPr>
        <w:tc>
          <w:tcPr>
            <w:tcW w:w="2067" w:type="dxa"/>
          </w:tcPr>
          <w:p w14:paraId="2A000246">
            <w:pPr>
              <w:spacing w:after="0" w:before="0" w:line="240" w:lineRule="auto"/>
            </w:pPr>
            <w:r>
              <w:rPr>
                <w:rFonts w:ascii="Arial" w:cs="Arial" w:eastAsia="Arial" w:hAnsi="Arial"/>
                <w:sz w:val="18"/>
                <w:szCs w:val="18"/>
              </w:rPr>
              <w:t xml:space="preserve">FN / FP</w:t>
            </w:r>
          </w:p>
        </w:tc>
        <w:tc>
          <w:tcPr>
            <w:tcW w:w="7233" w:type="dxa"/>
          </w:tcPr>
          <w:p w14:paraId="2A000247">
            <w:pPr>
              <w:spacing w:after="0" w:before="0" w:line="240" w:lineRule="auto"/>
            </w:pPr>
            <w:r>
              <w:rPr>
                <w:rFonts w:ascii="Arial" w:cs="Arial" w:eastAsia="Arial" w:hAnsi="Arial"/>
                <w:sz w:val="18"/>
                <w:szCs w:val="18"/>
              </w:rPr>
              <w:t xml:space="preserve">Falso negativo / Falso positivo</w:t>
            </w:r>
          </w:p>
        </w:tc>
      </w:tr>
      <w:tr>
        <w:trPr>
          <w:cantSplit/>
        </w:trPr>
        <w:tc>
          <w:tcPr>
            <w:tcW w:w="2067" w:type="dxa"/>
          </w:tcPr>
          <w:p w14:paraId="2A000248">
            <w:pPr>
              <w:spacing w:after="0" w:before="0" w:line="240" w:lineRule="auto"/>
            </w:pPr>
            <w:r>
              <w:rPr>
                <w:rFonts w:ascii="Arial" w:cs="Arial" w:eastAsia="Arial" w:hAnsi="Arial"/>
                <w:sz w:val="18"/>
                <w:szCs w:val="18"/>
              </w:rPr>
              <w:t xml:space="preserve">HGB</w:t>
            </w:r>
          </w:p>
        </w:tc>
        <w:tc>
          <w:tcPr>
            <w:tcW w:w="7233" w:type="dxa"/>
          </w:tcPr>
          <w:p w14:paraId="2A000249">
            <w:pPr>
              <w:spacing w:after="0" w:before="0" w:line="240" w:lineRule="auto"/>
            </w:pPr>
            <w:r>
              <w:rPr>
                <w:rFonts w:ascii="Arial" w:cs="Arial" w:eastAsia="Arial" w:hAnsi="Arial"/>
                <w:sz w:val="18"/>
                <w:szCs w:val="18"/>
              </w:rPr>
              <w:t xml:space="preserve">HistGradientBoosting</w:t>
            </w:r>
          </w:p>
        </w:tc>
      </w:tr>
      <w:tr>
        <w:trPr>
          <w:cantSplit/>
        </w:trPr>
        <w:tc>
          <w:tcPr>
            <w:tcW w:w="2067" w:type="dxa"/>
          </w:tcPr>
          <w:p w14:paraId="2A00024A">
            <w:pPr>
              <w:spacing w:after="0" w:before="0" w:line="240" w:lineRule="auto"/>
            </w:pPr>
            <w:r>
              <w:rPr>
                <w:rFonts w:ascii="Arial" w:cs="Arial" w:eastAsia="Arial" w:hAnsi="Arial"/>
                <w:sz w:val="18"/>
                <w:szCs w:val="18"/>
              </w:rPr>
              <w:t xml:space="preserve">IQR</w:t>
            </w:r>
          </w:p>
        </w:tc>
        <w:tc>
          <w:tcPr>
            <w:tcW w:w="7233" w:type="dxa"/>
          </w:tcPr>
          <w:p w14:paraId="2A00024B">
            <w:pPr>
              <w:spacing w:after="0" w:before="0" w:line="240" w:lineRule="auto"/>
            </w:pPr>
            <w:r>
              <w:rPr>
                <w:rFonts w:ascii="Arial" w:cs="Arial" w:eastAsia="Arial" w:hAnsi="Arial"/>
                <w:sz w:val="18"/>
                <w:szCs w:val="18"/>
              </w:rPr>
              <w:t xml:space="preserve">Interquartile Range (rango intercuartílico)</w:t>
            </w:r>
          </w:p>
        </w:tc>
      </w:tr>
      <w:tr>
        <w:trPr>
          <w:cantSplit/>
        </w:trPr>
        <w:tc>
          <w:tcPr>
            <w:tcW w:w="2067" w:type="dxa"/>
          </w:tcPr>
          <w:p w14:paraId="2A00024C">
            <w:pPr>
              <w:spacing w:after="0" w:before="0" w:line="240" w:lineRule="auto"/>
            </w:pPr>
            <w:r>
              <w:rPr>
                <w:rFonts w:ascii="Arial" w:cs="Arial" w:eastAsia="Arial" w:hAnsi="Arial"/>
                <w:sz w:val="18"/>
                <w:szCs w:val="18"/>
              </w:rPr>
              <w:t xml:space="preserve">LR</w:t>
            </w:r>
          </w:p>
        </w:tc>
        <w:tc>
          <w:tcPr>
            <w:tcW w:w="7233" w:type="dxa"/>
          </w:tcPr>
          <w:p w14:paraId="2A00024D">
            <w:pPr>
              <w:spacing w:after="0" w:before="0" w:line="240" w:lineRule="auto"/>
            </w:pPr>
            <w:r>
              <w:rPr>
                <w:rFonts w:ascii="Arial" w:cs="Arial" w:eastAsia="Arial" w:hAnsi="Arial"/>
                <w:sz w:val="18"/>
                <w:szCs w:val="18"/>
              </w:rPr>
              <w:t xml:space="preserve">Logistic Regression (Regresión Logística)</w:t>
            </w:r>
          </w:p>
        </w:tc>
      </w:tr>
      <w:tr>
        <w:trPr>
          <w:cantSplit/>
        </w:trPr>
        <w:tc>
          <w:tcPr>
            <w:tcW w:w="2067" w:type="dxa"/>
          </w:tcPr>
          <w:p w14:paraId="2A00024E">
            <w:pPr>
              <w:spacing w:after="0" w:before="0" w:line="240" w:lineRule="auto"/>
            </w:pPr>
            <w:r>
              <w:rPr>
                <w:rFonts w:ascii="Arial" w:cs="Arial" w:eastAsia="Arial" w:hAnsi="Arial"/>
                <w:sz w:val="18"/>
                <w:szCs w:val="18"/>
              </w:rPr>
              <w:t xml:space="preserve">PR</w:t>
            </w:r>
          </w:p>
        </w:tc>
        <w:tc>
          <w:tcPr>
            <w:tcW w:w="7233" w:type="dxa"/>
          </w:tcPr>
          <w:p w14:paraId="2A00024F">
            <w:pPr>
              <w:spacing w:after="0" w:before="0" w:line="240" w:lineRule="auto"/>
            </w:pPr>
            <w:r>
              <w:rPr>
                <w:rFonts w:ascii="Arial" w:cs="Arial" w:eastAsia="Arial" w:hAnsi="Arial"/>
                <w:sz w:val="18"/>
                <w:szCs w:val="18"/>
              </w:rPr>
              <w:t xml:space="preserve">Precision–Recall</w:t>
            </w:r>
          </w:p>
        </w:tc>
      </w:tr>
      <w:tr>
        <w:trPr>
          <w:cantSplit/>
        </w:trPr>
        <w:tc>
          <w:tcPr>
            <w:tcW w:w="2067" w:type="dxa"/>
          </w:tcPr>
          <w:p w14:paraId="2A000250">
            <w:pPr>
              <w:spacing w:after="0" w:before="0" w:line="240" w:lineRule="auto"/>
            </w:pPr>
            <w:r>
              <w:rPr>
                <w:rFonts w:ascii="Arial" w:cs="Arial" w:eastAsia="Arial" w:hAnsi="Arial"/>
                <w:sz w:val="18"/>
                <w:szCs w:val="18"/>
              </w:rPr>
              <w:t xml:space="preserve">ROC</w:t>
            </w:r>
          </w:p>
        </w:tc>
        <w:tc>
          <w:tcPr>
            <w:tcW w:w="7233" w:type="dxa"/>
          </w:tcPr>
          <w:p w14:paraId="2A000251">
            <w:pPr>
              <w:spacing w:after="0" w:before="0" w:line="240" w:lineRule="auto"/>
            </w:pPr>
            <w:r>
              <w:rPr>
                <w:rFonts w:ascii="Arial" w:cs="Arial" w:eastAsia="Arial" w:hAnsi="Arial"/>
                <w:sz w:val="18"/>
                <w:szCs w:val="18"/>
              </w:rPr>
              <w:t xml:space="preserve">Receiver Operating Characteristic</w:t>
            </w:r>
          </w:p>
        </w:tc>
      </w:tr>
      <w:tr>
        <w:trPr>
          <w:cantSplit/>
        </w:trPr>
        <w:tc>
          <w:tcPr>
            <w:tcW w:w="2067" w:type="dxa"/>
          </w:tcPr>
          <w:p w14:paraId="2A000252">
            <w:pPr>
              <w:spacing w:after="0" w:before="0" w:line="240" w:lineRule="auto"/>
            </w:pPr>
            <w:r>
              <w:rPr>
                <w:rFonts w:ascii="Arial" w:cs="Arial" w:eastAsia="Arial" w:hAnsi="Arial"/>
                <w:sz w:val="18"/>
                <w:szCs w:val="18"/>
              </w:rPr>
              <w:t xml:space="preserve">SHAP</w:t>
            </w:r>
          </w:p>
        </w:tc>
        <w:tc>
          <w:tcPr>
            <w:tcW w:w="7233" w:type="dxa"/>
          </w:tcPr>
          <w:p w14:paraId="2A000253">
            <w:pPr>
              <w:spacing w:after="0" w:before="0" w:line="240" w:lineRule="auto"/>
            </w:pPr>
            <w:r>
              <w:rPr>
                <w:rFonts w:ascii="Arial" w:cs="Arial" w:eastAsia="Arial" w:hAnsi="Arial"/>
                <w:sz w:val="18"/>
                <w:szCs w:val="18"/>
              </w:rPr>
              <w:t xml:space="preserve">SHapley Additive exPlanations</w:t>
            </w:r>
          </w:p>
        </w:tc>
      </w:tr>
      <w:tr>
        <w:trPr>
          <w:cantSplit/>
        </w:trPr>
        <w:tc>
          <w:tcPr>
            <w:tcW w:w="2067" w:type="dxa"/>
          </w:tcPr>
          <w:p w14:paraId="2A000254">
            <w:pPr>
              <w:spacing w:after="0" w:before="0" w:line="240" w:lineRule="auto"/>
            </w:pPr>
            <w:r>
              <w:rPr>
                <w:rFonts w:ascii="Arial" w:cs="Arial" w:eastAsia="Arial" w:hAnsi="Arial"/>
                <w:sz w:val="18"/>
                <w:szCs w:val="18"/>
              </w:rPr>
              <w:t xml:space="preserve">T3 / T4</w:t>
            </w:r>
          </w:p>
        </w:tc>
        <w:tc>
          <w:tcPr>
            <w:tcW w:w="7233" w:type="dxa"/>
          </w:tcPr>
          <w:p w14:paraId="2A000255">
            <w:pPr>
              <w:spacing w:after="0" w:before="0" w:line="240" w:lineRule="auto"/>
            </w:pPr>
            <w:r>
              <w:rPr>
                <w:rFonts w:ascii="Arial" w:cs="Arial" w:eastAsia="Arial" w:hAnsi="Arial"/>
                <w:sz w:val="18"/>
                <w:szCs w:val="18"/>
              </w:rPr>
              <w:t xml:space="preserve">Triyodotironina / Tiroxina</w:t>
            </w:r>
          </w:p>
        </w:tc>
      </w:tr>
      <w:tr>
        <w:trPr>
          <w:cantSplit/>
        </w:trPr>
        <w:tc>
          <w:tcPr>
            <w:tcW w:w="2067" w:type="dxa"/>
          </w:tcPr>
          <w:p w14:paraId="2A000256">
            <w:pPr>
              <w:spacing w:after="0" w:before="0" w:line="240" w:lineRule="auto"/>
            </w:pPr>
            <w:r>
              <w:rPr>
                <w:rFonts w:ascii="Arial" w:cs="Arial" w:eastAsia="Arial" w:hAnsi="Arial"/>
                <w:sz w:val="18"/>
                <w:szCs w:val="18"/>
              </w:rPr>
              <w:t xml:space="preserve">TSH</w:t>
            </w:r>
          </w:p>
        </w:tc>
        <w:tc>
          <w:tcPr>
            <w:tcW w:w="7233" w:type="dxa"/>
          </w:tcPr>
          <w:p w14:paraId="2A000257">
            <w:pPr>
              <w:spacing w:after="0" w:before="0" w:line="240" w:lineRule="auto"/>
            </w:pPr>
            <w:r>
              <w:rPr>
                <w:rFonts w:ascii="Arial" w:cs="Arial" w:eastAsia="Arial" w:hAnsi="Arial"/>
                <w:sz w:val="18"/>
                <w:szCs w:val="18"/>
              </w:rPr>
              <w:t xml:space="preserve">Thyroid-Stimulating Hormone (hormona estimulante de tiroides)</w:t>
            </w:r>
          </w:p>
        </w:tc>
      </w:tr>
    </w:tbl>
    <w:p w14:paraId="2A000258">
      <w:pPr>
        <w:spacing w:after="60" w:before="0" w:line="276" w:lineRule="auto"/>
        <w:jc w:val="both"/>
      </w:pPr>
    </w:p>
    <w:p w14:paraId="2A000259">
      <w:pPr>
        <w:spacing w:after="240" w:before="240" w:lineRule="auto"/>
      </w:pPr>
      <w:r>
        <w:rPr>
          <w:b w:val="1"/>
          <w:bCs w:val="1"/>
          <w:sz w:val="36"/>
          <w:szCs w:val="36"/>
        </w:rPr>
        <w:t xml:space="preserve">Bibliografía</w:t>
      </w:r>
    </w:p>
    <w:p w14:paraId="2A00025A">
      <w:pPr>
        <w:spacing w:after="120" w:before="120" w:line="276" w:lineRule="auto"/>
        <w:jc w:val="left"/>
      </w:pPr>
      <w:r>
        <w:rPr>
          <w:rFonts w:ascii="Arial" w:cs="Arial" w:eastAsia="Arial" w:hAnsi="Arial"/>
          <w:sz w:val="24"/>
          <w:szCs w:val="24"/>
        </w:rPr>
        <w:t xml:space="preserve">Bray, F., Laversanne, M., Sung, H., et al. (2024). Global cancer statistics 2022: GLOBOCAN estimates of incidence and mortality worldwide for 36 cancers in 185 countries. CA: A Cancer Journal for Clinicians, 74(3), 229–263.</w:t>
      </w:r>
    </w:p>
    <w:p w14:paraId="2A00025B">
      <w:pPr>
        <w:spacing w:after="120" w:before="120" w:line="276" w:lineRule="auto"/>
        <w:jc w:val="left"/>
      </w:pPr>
      <w:r>
        <w:rPr>
          <w:rFonts w:ascii="Arial" w:cs="Arial" w:eastAsia="Arial" w:hAnsi="Arial"/>
          <w:sz w:val="24"/>
          <w:szCs w:val="24"/>
        </w:rPr>
        <w:t xml:space="preserve">Haugen, B. R., Alexander, E. K., Bible, K. C., et al. (2016). 2015 American Thyroid Association Management Guidelines for Adult Patients with Thyroid Nodules and Differentiated Thyroid Cancer. Thyroid, 26(1), 1–133.</w:t>
      </w:r>
    </w:p>
    <w:p w14:paraId="2A00025C">
      <w:pPr>
        <w:spacing w:after="120" w:before="120" w:line="276" w:lineRule="auto"/>
        <w:jc w:val="left"/>
      </w:pPr>
      <w:r>
        <w:rPr>
          <w:rFonts w:ascii="Arial" w:cs="Arial" w:eastAsia="Arial" w:hAnsi="Arial"/>
          <w:sz w:val="24"/>
          <w:szCs w:val="24"/>
        </w:rPr>
        <w:t xml:space="preserve">Pedregosa, F., Varoquaux, G., Gramfort, A., et al. (2011). Scikit-learn: Machine Learning in Python. Journal of Machine Learning Research, 12, 2825–2830.</w:t>
      </w:r>
    </w:p>
    <w:p w14:paraId="2A00025D">
      <w:pPr>
        <w:spacing w:after="120" w:before="120" w:line="276" w:lineRule="auto"/>
        <w:jc w:val="left"/>
      </w:pPr>
      <w:r>
        <w:rPr>
          <w:rFonts w:ascii="Arial" w:cs="Arial" w:eastAsia="Arial" w:hAnsi="Arial"/>
          <w:sz w:val="24"/>
          <w:szCs w:val="24"/>
        </w:rPr>
        <w:t xml:space="preserve">Saito, T., &amp; Rehmsmeier, M. (2015). The precision-recall plot is more informative than the ROC plot when evaluating binary classifiers on imbalanced datasets. PLoS ONE, 10(3), e0118432.</w:t>
      </w:r>
    </w:p>
    <w:p w14:paraId="2A00025E">
      <w:pPr>
        <w:spacing w:after="120" w:before="120" w:line="276" w:lineRule="auto"/>
        <w:jc w:val="left"/>
      </w:pPr>
      <w:r>
        <w:rPr>
          <w:rFonts w:ascii="Arial" w:cs="Arial" w:eastAsia="Arial" w:hAnsi="Arial"/>
          <w:sz w:val="24"/>
          <w:szCs w:val="24"/>
        </w:rPr>
        <w:t xml:space="preserve">Kaggle. Thyroid Cancer Risk Prediction Dataset. [COMPLETAR: autor, año y URL].</w:t>
      </w:r>
    </w:p>
    <w:sectPr>
      <w:headerReference r:id="rId13" w:type="default"/>
      <w:pgSz w:h="15840" w:w="12240" w:orient="portrait"/>
      <w:pgMar w:bottom="1417.3228346456694" w:top="1417.3228346456694" w:left="1417.3228346456694" w:right="1417.322834645669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240" w:lineRule="auto"/>
      <w:jc w:val="both"/>
    </w:pPr>
    <w:rPr>
      <w:rFonts w:ascii="Calibri" w:cs="Calibri" w:eastAsia="Calibri" w:hAnsi="Calibri"/>
      <w:b w:val="1"/>
      <w:bCs w:val="1"/>
      <w:smallCaps w:val="1"/>
      <w:color w:val="ffffff"/>
      <w:sz w:val="28"/>
      <w:szCs w:val="28"/>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240" w:lineRule="auto"/>
      <w:jc w:val="both"/>
    </w:pPr>
    <w:rPr>
      <w:rFonts w:ascii="Calibri" w:cs="Calibri" w:eastAsia="Calibri" w:hAnsi="Calibri"/>
      <w:smallCaps w:val="1"/>
    </w:rPr>
  </w:style>
  <w:style w:type="paragraph" w:styleId="Heading3">
    <w:name w:val="heading 3"/>
    <w:basedOn w:val="Normal"/>
    <w:next w:val="Normal"/>
    <w:pPr>
      <w:pBdr>
        <w:top w:color="4f81bd" w:space="2" w:sz="6" w:val="single"/>
        <w:left w:color="4f81bd" w:space="2" w:sz="6" w:val="single"/>
      </w:pBdr>
      <w:spacing w:after="0" w:before="300" w:line="240" w:lineRule="auto"/>
      <w:jc w:val="both"/>
    </w:pPr>
    <w:rPr>
      <w:rFonts w:ascii="Calibri" w:cs="Calibri" w:eastAsia="Calibri" w:hAnsi="Calibri"/>
      <w:smallCaps w:val="1"/>
      <w:color w:val="243f6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8Ngeck2Y1MJL2RRZWdzrbp643dy7ia62WBjzrjhUDz8/edit#heading=h.abib3co2ycj6" TargetMode="External"/><Relationship Id="rId10" Type="http://schemas.openxmlformats.org/officeDocument/2006/relationships/hyperlink" Target="https://docs.google.com/document/d/18Ngeck2Y1MJL2RRZWdzrbp643dy7ia62WBjzrjhUDz8/edit#heading=h.54wuamd44qzs" TargetMode="External"/><Relationship Id="rId13" Type="http://schemas.openxmlformats.org/officeDocument/2006/relationships/header" Target="header1.xml"/><Relationship Id="rId12" Type="http://schemas.openxmlformats.org/officeDocument/2006/relationships/hyperlink" Target="https://docs.google.com/document/d/18Ngeck2Y1MJL2RRZWdzrbp643dy7ia62WBjzrjhUDz8/edit#heading=h.abib3co2ycj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Ngeck2Y1MJL2RRZWdzrbp643dy7ia62WBjzrjhUDz8/edit#heading=h.54wuamd44qz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8Ngeck2Y1MJL2RRZWdzrbp643dy7ia62WBjzrjhUDz8/edit#heading=h.lqnlhyj4hao6" TargetMode="External"/><Relationship Id="rId8" Type="http://schemas.openxmlformats.org/officeDocument/2006/relationships/hyperlink" Target="https://docs.google.com/document/d/18Ngeck2Y1MJL2RRZWdzrbp643dy7ia62WBjzrjhUDz8/edit#heading=h.lqnlhyj4hao6" TargetMode="External"/><Relationship Id="rIdFig101" Type="http://schemas.openxmlformats.org/officeDocument/2006/relationships/image" Target="media/02_numericas_por_diagnostico.png"/><Relationship Id="rIdFig102" Type="http://schemas.openxmlformats.org/officeDocument/2006/relationships/image" Target="media/01_target.png"/><Relationship Id="rIdFig103" Type="http://schemas.openxmlformats.org/officeDocument/2006/relationships/image" Target="media/03_tasa_malignidad_binarias.png"/><Relationship Id="rIdFig104" Type="http://schemas.openxmlformats.org/officeDocument/2006/relationships/image" Target="media/05_correlacion.png"/><Relationship Id="rIdFig105" Type="http://schemas.openxmlformats.org/officeDocument/2006/relationships/image" Target="media/04_tasa_por_pais_etnia.png"/><Relationship Id="rIdFig106" Type="http://schemas.openxmlformats.org/officeDocument/2006/relationships/image" Target="media/06_riesgo_vs_diagnostico.png"/><Relationship Id="rIdFig107" Type="http://schemas.openxmlformats.org/officeDocument/2006/relationships/image" Target="media/07_pais_vs_etnia.png"/><Relationship Id="rIdFig108" Type="http://schemas.openxmlformats.org/officeDocument/2006/relationships/image" Target="media/08_roc_pr.png"/><Relationship Id="rIdFig109" Type="http://schemas.openxmlformats.org/officeDocument/2006/relationships/image" Target="media/09_matrices_confusion.png"/><Relationship Id="rIdFig110" Type="http://schemas.openxmlformats.org/officeDocument/2006/relationships/image" Target="media/10_coeficientes_l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