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939800" cy="939800"/>
            <wp:effectExtent b="0" l="0" r="0" t="0"/>
            <wp:docPr descr="Resultado de imagen para LOGO UPC" id="117" name="image6.jpg"/>
            <a:graphic>
              <a:graphicData uri="http://schemas.openxmlformats.org/drawingml/2006/picture">
                <pic:pic>
                  <pic:nvPicPr>
                    <pic:cNvPr descr="Resultado de imagen para LOGO UPC" id="0" name="image6.jpg"/>
                    <pic:cNvPicPr preferRelativeResize="0"/>
                  </pic:nvPicPr>
                  <pic:blipFill>
                    <a:blip r:embed="rId7"/>
                    <a:srcRect b="0" l="0" r="0" t="0"/>
                    <a:stretch>
                      <a:fillRect/>
                    </a:stretch>
                  </pic:blipFill>
                  <pic:spPr>
                    <a:xfrm>
                      <a:off x="0" y="0"/>
                      <a:ext cx="939800" cy="9398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60"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3">
      <w:pPr>
        <w:spacing w:after="160"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UNIVERSIDAD PERUANA DE CIENCIAS APLICADAS</w:t>
      </w:r>
    </w:p>
    <w:p w:rsidR="00000000" w:rsidDel="00000000" w:rsidP="00000000" w:rsidRDefault="00000000" w:rsidRPr="00000000" w14:paraId="00000004">
      <w:pPr>
        <w:spacing w:after="16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FACULTAD DE INGENIERÍA</w:t>
      </w:r>
    </w:p>
    <w:p w:rsidR="00000000" w:rsidDel="00000000" w:rsidP="00000000" w:rsidRDefault="00000000" w:rsidRPr="00000000" w14:paraId="00000005">
      <w:pPr>
        <w:spacing w:after="16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CIENCIAS DE LA COMPUTACIÓN</w:t>
      </w:r>
    </w:p>
    <w:p w:rsidR="00000000" w:rsidDel="00000000" w:rsidP="00000000" w:rsidRDefault="00000000" w:rsidRPr="00000000" w14:paraId="00000006">
      <w:pPr>
        <w:spacing w:after="16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CURSO: CC209 - DATA MINING TOOLS</w:t>
      </w:r>
    </w:p>
    <w:p w:rsidR="00000000" w:rsidDel="00000000" w:rsidP="00000000" w:rsidRDefault="00000000" w:rsidRPr="00000000" w14:paraId="00000007">
      <w:pPr>
        <w:spacing w:after="16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PROFESOR: CARLOS FERNANDO MONTOYA CUBAS</w:t>
      </w:r>
    </w:p>
    <w:p w:rsidR="00000000" w:rsidDel="00000000" w:rsidP="00000000" w:rsidRDefault="00000000" w:rsidRPr="00000000" w14:paraId="00000008">
      <w:pPr>
        <w:spacing w:after="160" w:line="4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NRC: 17496</w:t>
      </w:r>
    </w:p>
    <w:p w:rsidR="00000000" w:rsidDel="00000000" w:rsidP="00000000" w:rsidRDefault="00000000" w:rsidRPr="00000000" w14:paraId="00000009">
      <w:pPr>
        <w:spacing w:after="160"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TRABAJO PARCIAL</w:t>
      </w:r>
    </w:p>
    <w:p w:rsidR="00000000" w:rsidDel="00000000" w:rsidP="00000000" w:rsidRDefault="00000000" w:rsidRPr="00000000" w14:paraId="0000000A">
      <w:pPr>
        <w:spacing w:after="160" w:line="25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GRUPO: 2</w:t>
      </w:r>
    </w:p>
    <w:p w:rsidR="00000000" w:rsidDel="00000000" w:rsidP="00000000" w:rsidRDefault="00000000" w:rsidRPr="00000000" w14:paraId="0000000B">
      <w:pPr>
        <w:spacing w:after="160" w:line="25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spacing w:after="160"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INTEGRANTES:</w:t>
      </w:r>
    </w:p>
    <w:p w:rsidR="00000000" w:rsidDel="00000000" w:rsidP="00000000" w:rsidRDefault="00000000" w:rsidRPr="00000000" w14:paraId="0000000D">
      <w:pPr>
        <w:spacing w:after="1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spacing w:after="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Gomez Rubina, Luis David (U20221C621) - Ciencias de la Computación</w:t>
      </w:r>
    </w:p>
    <w:p w:rsidR="00000000" w:rsidDel="00000000" w:rsidP="00000000" w:rsidRDefault="00000000" w:rsidRPr="00000000" w14:paraId="0000000F">
      <w:pPr>
        <w:spacing w:after="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Miranda Cárdenas, Sofía (U20191C439) - Ciencias de la Computación</w:t>
      </w:r>
    </w:p>
    <w:p w:rsidR="00000000" w:rsidDel="00000000" w:rsidP="00000000" w:rsidRDefault="00000000" w:rsidRPr="00000000" w14:paraId="00000010">
      <w:pPr>
        <w:spacing w:after="16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spacing w:after="160" w:line="25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spacing w:after="160"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Fecha de Evaluación: Semana 7</w:t>
      </w:r>
    </w:p>
    <w:p w:rsidR="00000000" w:rsidDel="00000000" w:rsidP="00000000" w:rsidRDefault="00000000" w:rsidRPr="00000000" w14:paraId="00000013">
      <w:pPr>
        <w:spacing w:after="160"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Ciclo Académico: 202620</w:t>
      </w:r>
    </w:p>
    <w:p w:rsidR="00000000" w:rsidDel="00000000" w:rsidP="00000000" w:rsidRDefault="00000000" w:rsidRPr="00000000" w14:paraId="00000014">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spacing w:after="160" w:line="259"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016">
      <w:pPr>
        <w:pStyle w:val="Subtitle"/>
        <w:keepNext w:val="0"/>
        <w:keepLines w:val="0"/>
        <w:spacing w:after="240" w:before="240" w:line="240" w:lineRule="auto"/>
        <w:jc w:val="both"/>
        <w:rPr>
          <w:rFonts w:ascii="Times New Roman" w:cs="Times New Roman" w:eastAsia="Times New Roman" w:hAnsi="Times New Roman"/>
          <w:b w:val="1"/>
          <w:bCs w:val="1"/>
          <w:i w:val="0"/>
          <w:iCs w:val="0"/>
          <w:color w:val="1f497d"/>
          <w:sz w:val="22"/>
          <w:szCs w:val="22"/>
        </w:rPr>
      </w:pPr>
      <w:bookmarkStart w:colFirst="0" w:colLast="0" w:name="_heading=h.w948vk313kmn" w:id="0"/>
      <w:bookmarkEnd w:id="0"/>
      <w:r w:rsidDel="00000000" w:rsidR="00000000" w:rsidRPr="00000000">
        <w:rPr>
          <w:rFonts w:ascii="Times New Roman" w:cs="Times New Roman" w:eastAsia="Times New Roman" w:hAnsi="Times New Roman"/>
          <w:b w:val="1"/>
          <w:bCs w:val="1"/>
          <w:i w:val="0"/>
          <w:iCs w:val="0"/>
          <w:color w:val="000000"/>
          <w:sz w:val="22"/>
          <w:szCs w:val="22"/>
          <w:rtl w:val="0"/>
        </w:rPr>
        <w:t xml:space="preserve">Índice de Contenidos</w:t>
      </w:r>
      <w:r w:rsidDel="00000000" w:rsidR="00000000" w:rsidRPr="00000000">
        <w:rPr>
          <w:rtl w:val="0"/>
        </w:rPr>
      </w:r>
    </w:p>
    <w:p w:rsidR="00000000" w:rsidDel="00000000" w:rsidP="00000000" w:rsidRDefault="00000000" w:rsidRPr="00000000" w14:paraId="00000017">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 Definición del Problema</w:t>
      </w:r>
      <w:r w:rsidDel="00000000" w:rsidR="00000000" w:rsidRPr="00000000">
        <w:rPr>
          <w:rtl w:val="0"/>
        </w:rPr>
      </w:r>
    </w:p>
    <w:p w:rsidR="00000000" w:rsidDel="00000000" w:rsidP="00000000" w:rsidRDefault="00000000" w:rsidRPr="00000000" w14:paraId="00000018">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 Contexto del problema</w:t>
      </w:r>
    </w:p>
    <w:p w:rsidR="00000000" w:rsidDel="00000000" w:rsidP="00000000" w:rsidRDefault="00000000" w:rsidRPr="00000000" w14:paraId="00000019">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 Necesidad o situación que se desea abordar</w:t>
      </w:r>
    </w:p>
    <w:p w:rsidR="00000000" w:rsidDel="00000000" w:rsidP="00000000" w:rsidRDefault="00000000" w:rsidRPr="00000000" w14:paraId="0000001A">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Unidad de análisis</w:t>
      </w:r>
    </w:p>
    <w:p w:rsidR="00000000" w:rsidDel="00000000" w:rsidP="00000000" w:rsidRDefault="00000000" w:rsidRPr="00000000" w14:paraId="0000001B">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 Pregunta principal del proyecto</w:t>
      </w:r>
    </w:p>
    <w:p w:rsidR="00000000" w:rsidDel="00000000" w:rsidP="00000000" w:rsidRDefault="00000000" w:rsidRPr="00000000" w14:paraId="0000001C">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Tipo de problema de Data Science</w:t>
      </w:r>
    </w:p>
    <w:p w:rsidR="00000000" w:rsidDel="00000000" w:rsidP="00000000" w:rsidRDefault="00000000" w:rsidRPr="00000000" w14:paraId="0000001D">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 Utilidad esperada de la solución</w:t>
      </w:r>
    </w:p>
    <w:p w:rsidR="00000000" w:rsidDel="00000000" w:rsidP="00000000" w:rsidRDefault="00000000" w:rsidRPr="00000000" w14:paraId="0000001E">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 Criterios bajo los cuales se considerará útil el resultado</w:t>
      </w:r>
    </w:p>
    <w:p w:rsidR="00000000" w:rsidDel="00000000" w:rsidP="00000000" w:rsidRDefault="00000000" w:rsidRPr="00000000" w14:paraId="0000001F">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 Dataset y Procedencia</w:t>
      </w:r>
      <w:r w:rsidDel="00000000" w:rsidR="00000000" w:rsidRPr="00000000">
        <w:rPr>
          <w:rtl w:val="0"/>
        </w:rPr>
      </w:r>
    </w:p>
    <w:p w:rsidR="00000000" w:rsidDel="00000000" w:rsidP="00000000" w:rsidRDefault="00000000" w:rsidRPr="00000000" w14:paraId="00000020">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 Fuente y procedencia</w:t>
      </w:r>
    </w:p>
    <w:p w:rsidR="00000000" w:rsidDel="00000000" w:rsidP="00000000" w:rsidRDefault="00000000" w:rsidRPr="00000000" w14:paraId="00000021">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 Número de observaciones y variables</w:t>
      </w:r>
    </w:p>
    <w:p w:rsidR="00000000" w:rsidDel="00000000" w:rsidP="00000000" w:rsidRDefault="00000000" w:rsidRPr="00000000" w14:paraId="00000022">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 Período temporal</w:t>
      </w:r>
    </w:p>
    <w:p w:rsidR="00000000" w:rsidDel="00000000" w:rsidP="00000000" w:rsidRDefault="00000000" w:rsidRPr="00000000" w14:paraId="00000023">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 Variable objetivo</w:t>
      </w:r>
    </w:p>
    <w:p w:rsidR="00000000" w:rsidDel="00000000" w:rsidP="00000000" w:rsidRDefault="00000000" w:rsidRPr="00000000" w14:paraId="00000024">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 Diccionario de variables relevante</w:t>
      </w:r>
    </w:p>
    <w:p w:rsidR="00000000" w:rsidDel="00000000" w:rsidP="00000000" w:rsidRDefault="00000000" w:rsidRPr="00000000" w14:paraId="00000025">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 Licencia o condiciones de uso</w:t>
      </w:r>
    </w:p>
    <w:p w:rsidR="00000000" w:rsidDel="00000000" w:rsidP="00000000" w:rsidRDefault="00000000" w:rsidRPr="00000000" w14:paraId="00000026">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 Limitaciones conocidas del dataset</w:t>
      </w:r>
    </w:p>
    <w:p w:rsidR="00000000" w:rsidDel="00000000" w:rsidP="00000000" w:rsidRDefault="00000000" w:rsidRPr="00000000" w14:paraId="00000027">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 Justificación de por qué el dataset es adecuado para el problema</w:t>
      </w:r>
    </w:p>
    <w:p w:rsidR="00000000" w:rsidDel="00000000" w:rsidP="00000000" w:rsidRDefault="00000000" w:rsidRPr="00000000" w14:paraId="00000028">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 Análisis Exploratorio de Datos (EDA)</w:t>
      </w:r>
      <w:r w:rsidDel="00000000" w:rsidR="00000000" w:rsidRPr="00000000">
        <w:rPr>
          <w:rtl w:val="0"/>
        </w:rPr>
      </w:r>
    </w:p>
    <w:p w:rsidR="00000000" w:rsidDel="00000000" w:rsidP="00000000" w:rsidRDefault="00000000" w:rsidRPr="00000000" w14:paraId="00000029">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Distribuciones relevantes</w:t>
      </w:r>
    </w:p>
    <w:p w:rsidR="00000000" w:rsidDel="00000000" w:rsidP="00000000" w:rsidRDefault="00000000" w:rsidRPr="00000000" w14:paraId="0000002A">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Análisis de la variable objetivo</w:t>
      </w:r>
    </w:p>
    <w:p w:rsidR="00000000" w:rsidDel="00000000" w:rsidP="00000000" w:rsidRDefault="00000000" w:rsidRPr="00000000" w14:paraId="0000002B">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 Relaciones entre variables</w:t>
      </w:r>
    </w:p>
    <w:p w:rsidR="00000000" w:rsidDel="00000000" w:rsidP="00000000" w:rsidRDefault="00000000" w:rsidRPr="00000000" w14:paraId="0000002C">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Diferencias entre grupos</w:t>
      </w:r>
    </w:p>
    <w:p w:rsidR="00000000" w:rsidDel="00000000" w:rsidP="00000000" w:rsidRDefault="00000000" w:rsidRPr="00000000" w14:paraId="0000002D">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Posibles patrones y anomalías</w:t>
      </w:r>
    </w:p>
    <w:p w:rsidR="00000000" w:rsidDel="00000000" w:rsidP="00000000" w:rsidRDefault="00000000" w:rsidRPr="00000000" w14:paraId="0000002E">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 Problemas de calidad que condicionen decisiones posteriores</w:t>
      </w:r>
    </w:p>
    <w:p w:rsidR="00000000" w:rsidDel="00000000" w:rsidP="00000000" w:rsidRDefault="00000000" w:rsidRPr="00000000" w14:paraId="0000002F">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 Calidad y Preparación de Datos</w:t>
      </w:r>
      <w:r w:rsidDel="00000000" w:rsidR="00000000" w:rsidRPr="00000000">
        <w:rPr>
          <w:rtl w:val="0"/>
        </w:rPr>
      </w:r>
    </w:p>
    <w:p w:rsidR="00000000" w:rsidDel="00000000" w:rsidP="00000000" w:rsidRDefault="00000000" w:rsidRPr="00000000" w14:paraId="00000030">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Valores faltantes</w:t>
      </w:r>
    </w:p>
    <w:p w:rsidR="00000000" w:rsidDel="00000000" w:rsidP="00000000" w:rsidRDefault="00000000" w:rsidRPr="00000000" w14:paraId="00000031">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 Duplicados</w:t>
      </w:r>
    </w:p>
    <w:p w:rsidR="00000000" w:rsidDel="00000000" w:rsidP="00000000" w:rsidRDefault="00000000" w:rsidRPr="00000000" w14:paraId="00000032">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 Tipos de datos</w:t>
      </w:r>
    </w:p>
    <w:p w:rsidR="00000000" w:rsidDel="00000000" w:rsidP="00000000" w:rsidRDefault="00000000" w:rsidRPr="00000000" w14:paraId="00000033">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 Categorías inconsistentes</w:t>
      </w:r>
    </w:p>
    <w:p w:rsidR="00000000" w:rsidDel="00000000" w:rsidP="00000000" w:rsidRDefault="00000000" w:rsidRPr="00000000" w14:paraId="00000034">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 Outliers o valores extremos</w:t>
      </w:r>
    </w:p>
    <w:p w:rsidR="00000000" w:rsidDel="00000000" w:rsidP="00000000" w:rsidRDefault="00000000" w:rsidRPr="00000000" w14:paraId="00000035">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 Reglas lógicas o de negocio</w:t>
      </w:r>
    </w:p>
    <w:p w:rsidR="00000000" w:rsidDel="00000000" w:rsidP="00000000" w:rsidRDefault="00000000" w:rsidRPr="00000000" w14:paraId="00000036">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 Transformaciones realizadas</w:t>
      </w:r>
    </w:p>
    <w:p w:rsidR="00000000" w:rsidDel="00000000" w:rsidP="00000000" w:rsidRDefault="00000000" w:rsidRPr="00000000" w14:paraId="00000037">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 Separación de Datos</w:t>
      </w:r>
      <w:r w:rsidDel="00000000" w:rsidR="00000000" w:rsidRPr="00000000">
        <w:rPr>
          <w:rtl w:val="0"/>
        </w:rPr>
      </w:r>
    </w:p>
    <w:p w:rsidR="00000000" w:rsidDel="00000000" w:rsidP="00000000" w:rsidRDefault="00000000" w:rsidRPr="00000000" w14:paraId="00000038">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 Estrategia de separación</w:t>
      </w:r>
    </w:p>
    <w:p w:rsidR="00000000" w:rsidDel="00000000" w:rsidP="00000000" w:rsidRDefault="00000000" w:rsidRPr="00000000" w14:paraId="00000039">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 Proporciones utilizadas</w:t>
      </w:r>
    </w:p>
    <w:p w:rsidR="00000000" w:rsidDel="00000000" w:rsidP="00000000" w:rsidRDefault="00000000" w:rsidRPr="00000000" w14:paraId="0000003A">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 Razón de dicha elección</w:t>
      </w:r>
    </w:p>
    <w:p w:rsidR="00000000" w:rsidDel="00000000" w:rsidP="00000000" w:rsidRDefault="00000000" w:rsidRPr="00000000" w14:paraId="0000003B">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 Medidas adoptadas para evitar data leakage</w:t>
      </w:r>
    </w:p>
    <w:p w:rsidR="00000000" w:rsidDel="00000000" w:rsidP="00000000" w:rsidRDefault="00000000" w:rsidRPr="00000000" w14:paraId="0000003C">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 Flujo Reproducible de Preprocesamiento</w:t>
      </w:r>
      <w:r w:rsidDel="00000000" w:rsidR="00000000" w:rsidRPr="00000000">
        <w:rPr>
          <w:rtl w:val="0"/>
        </w:rPr>
      </w:r>
    </w:p>
    <w:p w:rsidR="00000000" w:rsidDel="00000000" w:rsidP="00000000" w:rsidRDefault="00000000" w:rsidRPr="00000000" w14:paraId="0000003D">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Matriz de decisiones de herramientas</w:t>
      </w:r>
    </w:p>
    <w:p w:rsidR="00000000" w:rsidDel="00000000" w:rsidP="00000000" w:rsidRDefault="00000000" w:rsidRPr="00000000" w14:paraId="0000003E">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7. Baseline</w:t>
      </w:r>
      <w:r w:rsidDel="00000000" w:rsidR="00000000" w:rsidRPr="00000000">
        <w:rPr>
          <w:rtl w:val="0"/>
        </w:rPr>
      </w:r>
    </w:p>
    <w:p w:rsidR="00000000" w:rsidDel="00000000" w:rsidP="00000000" w:rsidRDefault="00000000" w:rsidRPr="00000000" w14:paraId="0000003F">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8. Modelos Preliminares</w:t>
      </w:r>
      <w:r w:rsidDel="00000000" w:rsidR="00000000" w:rsidRPr="00000000">
        <w:rPr>
          <w:rtl w:val="0"/>
        </w:rPr>
      </w:r>
    </w:p>
    <w:p w:rsidR="00000000" w:rsidDel="00000000" w:rsidP="00000000" w:rsidRDefault="00000000" w:rsidRPr="00000000" w14:paraId="00000040">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 Evaluación Preliminar</w:t>
      </w:r>
      <w:r w:rsidDel="00000000" w:rsidR="00000000" w:rsidRPr="00000000">
        <w:rPr>
          <w:rtl w:val="0"/>
        </w:rPr>
      </w:r>
    </w:p>
    <w:p w:rsidR="00000000" w:rsidDel="00000000" w:rsidP="00000000" w:rsidRDefault="00000000" w:rsidRPr="00000000" w14:paraId="00000041">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9.1 Métricas seleccionadas y justificación</w:t>
      </w:r>
    </w:p>
    <w:p w:rsidR="00000000" w:rsidDel="00000000" w:rsidP="00000000" w:rsidRDefault="00000000" w:rsidRPr="00000000" w14:paraId="00000042">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 Resultados en el conjunto de validación</w:t>
      </w:r>
    </w:p>
    <w:p w:rsidR="00000000" w:rsidDel="00000000" w:rsidP="00000000" w:rsidRDefault="00000000" w:rsidRPr="00000000" w14:paraId="00000043">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 Análisis del umbral de decisión</w:t>
      </w:r>
    </w:p>
    <w:p w:rsidR="00000000" w:rsidDel="00000000" w:rsidP="00000000" w:rsidRDefault="00000000" w:rsidRPr="00000000" w14:paraId="00000044">
      <w:pPr>
        <w:spacing w:after="40" w:lineRule="auto"/>
        <w:ind w:left="4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9.4 Interpretación de los resultados</w:t>
      </w:r>
    </w:p>
    <w:p w:rsidR="00000000" w:rsidDel="00000000" w:rsidP="00000000" w:rsidRDefault="00000000" w:rsidRPr="00000000" w14:paraId="00000045">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 Estado del Proyecto y Plan hacia el TF1</w:t>
      </w:r>
      <w:r w:rsidDel="00000000" w:rsidR="00000000" w:rsidRPr="00000000">
        <w:rPr>
          <w:rtl w:val="0"/>
        </w:rPr>
      </w:r>
    </w:p>
    <w:p w:rsidR="00000000" w:rsidDel="00000000" w:rsidP="00000000" w:rsidRDefault="00000000" w:rsidRPr="00000000" w14:paraId="00000046">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Glosario</w:t>
      </w:r>
      <w:r w:rsidDel="00000000" w:rsidR="00000000" w:rsidRPr="00000000">
        <w:rPr>
          <w:rtl w:val="0"/>
        </w:rPr>
      </w:r>
    </w:p>
    <w:p w:rsidR="00000000" w:rsidDel="00000000" w:rsidP="00000000" w:rsidRDefault="00000000" w:rsidRPr="00000000" w14:paraId="00000047">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Siglario</w:t>
      </w:r>
      <w:r w:rsidDel="00000000" w:rsidR="00000000" w:rsidRPr="00000000">
        <w:rPr>
          <w:rtl w:val="0"/>
        </w:rPr>
      </w:r>
    </w:p>
    <w:p w:rsidR="00000000" w:rsidDel="00000000" w:rsidP="00000000" w:rsidRDefault="00000000" w:rsidRPr="00000000" w14:paraId="00000048">
      <w:pPr>
        <w:spacing w:after="40" w:before="1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Bibliografía</w:t>
      </w: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4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1.Definición</w:t>
      </w:r>
      <w:r w:rsidDel="00000000" w:rsidR="00000000" w:rsidRPr="00000000">
        <w:rPr>
          <w:rFonts w:ascii="Times New Roman" w:cs="Times New Roman" w:eastAsia="Times New Roman" w:hAnsi="Times New Roman"/>
          <w:b w:val="1"/>
          <w:bCs w:val="1"/>
          <w:rtl w:val="0"/>
        </w:rPr>
        <w:t xml:space="preserve"> del Problema</w:t>
      </w:r>
    </w:p>
    <w:p w:rsidR="00000000" w:rsidDel="00000000" w:rsidP="00000000" w:rsidRDefault="00000000" w:rsidRPr="00000000" w14:paraId="0000004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1.1</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Contexto del Problema</w:t>
      </w:r>
      <w:r w:rsidDel="00000000" w:rsidR="00000000" w:rsidRPr="00000000">
        <w:rPr>
          <w:rtl w:val="0"/>
        </w:rPr>
      </w:r>
    </w:p>
    <w:p w:rsidR="00000000" w:rsidDel="00000000" w:rsidP="00000000" w:rsidRDefault="00000000" w:rsidRPr="00000000" w14:paraId="000000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cáncer de tiroides es una de las neoplasias malignas del sistema endocrino más comunes a nivel mundial. Su detección temprana y una evaluación precisa del riesgo son fundamentales para definir tratamientos oportunos y evitar intervenciones quirúrgicas innecesarias en pacientes con nódulos benignos. Sin embargo, la evaluación clínica tradicional depende de múltiples factores complejos (historial clínico, exposición a radiación, niveles de hormonas tiroideas como TSH, T3, T4 y características físicas del nódulo como su tamaño), lo que puede generar variabilidad en el diagnóstico y retrasos en la identificación de pacientes de alto riesgo. </w:t>
      </w:r>
    </w:p>
    <w:p w:rsidR="00000000" w:rsidDel="00000000" w:rsidP="00000000" w:rsidRDefault="00000000" w:rsidRPr="00000000" w14:paraId="000000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1.2 Necesidad o situación que se desea abordar</w:t>
      </w:r>
      <w:r w:rsidDel="00000000" w:rsidR="00000000" w:rsidRPr="00000000">
        <w:rPr>
          <w:rtl w:val="0"/>
        </w:rPr>
      </w:r>
    </w:p>
    <w:p w:rsidR="00000000" w:rsidDel="00000000" w:rsidP="00000000" w:rsidRDefault="00000000" w:rsidRPr="00000000" w14:paraId="000000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Existe la necesidad de automatizar y optimizar el proceso de estratificación del riesgo y diagnóstico del cáncer de tiroides basándose en datos clínicos e historiales de los pacientes. Actualmente, los médicos se enfrentan al reto de integrar una gran cantidad de variables heterogéneas (factores de riesgo genéticos, ambientales, hormonales y biométricas) para determinar si un paciente presenta un riesgo elevado o bajo de desarrollar cáncer, así como si el diagnóstico definitivo será benigno o maligno. Se requiere una herramienta objetiva que apoye la toma de decisiones clínicas para reducir el diagnóstico tardío y las biopsias o cirugías innecesarias. </w:t>
      </w:r>
    </w:p>
    <w:p w:rsidR="00000000" w:rsidDel="00000000" w:rsidP="00000000" w:rsidRDefault="00000000" w:rsidRPr="00000000" w14:paraId="0000004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 Unidad de análisis </w:t>
      </w:r>
    </w:p>
    <w:p w:rsidR="00000000" w:rsidDel="00000000" w:rsidP="00000000" w:rsidRDefault="00000000" w:rsidRPr="00000000" w14:paraId="000000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Cada paciente individual registrado en la base de datos (identificado por Patient_ID), el cual cuenta con un perfil único que abarca datos demográficos, antecedentes médicos, perfiles hormonales y características clínicas de sus nódulos tiroideos. </w:t>
      </w:r>
    </w:p>
    <w:p w:rsidR="00000000" w:rsidDel="00000000" w:rsidP="00000000" w:rsidRDefault="00000000" w:rsidRPr="00000000" w14:paraId="0000005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1.4 Pregunta principal del proyecto </w:t>
      </w:r>
    </w:p>
    <w:p w:rsidR="00000000" w:rsidDel="00000000" w:rsidP="00000000" w:rsidRDefault="00000000" w:rsidRPr="00000000" w14:paraId="00000052">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 qué capacidad se puede distinguir un diagnóstico maligno de uno benigno a partir de las características demográficas, antecedentes de exposición, perfil hormonal (TSH, T3, T4) y tamaño del nódulo tiroideo de un paciente, y qué factores aportan esa capacidad predictiva?</w:t>
      </w:r>
    </w:p>
    <w:p w:rsidR="00000000" w:rsidDel="00000000" w:rsidP="00000000" w:rsidRDefault="00000000" w:rsidRPr="00000000" w14:paraId="0000005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1.5 Tipo de problema de Data Science </w:t>
      </w:r>
      <w:r w:rsidDel="00000000" w:rsidR="00000000" w:rsidRPr="00000000">
        <w:rPr>
          <w:rtl w:val="0"/>
        </w:rPr>
      </w:r>
    </w:p>
    <w:p w:rsidR="00000000" w:rsidDel="00000000" w:rsidP="00000000" w:rsidRDefault="00000000" w:rsidRPr="00000000" w14:paraId="00000054">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Clasificación binaria supervisada: predecir el diagnóstico final (Benign vs. Malignant) a partir de las variables del paciente. Las clases están desbalanceadas (23.3 % malignos). La variable Thyroid_Cancer_Risk no se modela como objetivo: se utiliza únicamente como regla de referencia (ver secciones 3.5 y 7).</w:t>
      </w:r>
    </w:p>
    <w:p w:rsidR="00000000" w:rsidDel="00000000" w:rsidP="00000000" w:rsidRDefault="00000000" w:rsidRPr="00000000" w14:paraId="00000055">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 Utilidad esperada de la solución </w:t>
      </w:r>
    </w:p>
    <w:p w:rsidR="00000000" w:rsidDel="00000000" w:rsidP="00000000" w:rsidRDefault="00000000" w:rsidRPr="00000000" w14:paraId="0000005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Apoyo a la decisión clínica (CDS): Proveer a los endocrinólogos y oncólogos una herramienta predictiva rápida y confiable que complemente el juicio médico experto.</w:t>
        <w:br w:type="textWrapping"/>
        <w:t xml:space="preserve">Optimización de recursos médicos: Reducir la cantidad de procedimientos invasivos (como biopsias o cirugías exploratorias) en pacientes con bajo riesgo o nódulos benignos.</w:t>
        <w:br w:type="textWrapping"/>
        <w:t xml:space="preserve">Detección temprana: Identificar de manera proactiva a los pacientes con mayor probabilidad de presentar cuadros malignos, permitiendo iniciar tratamientos oportunos que mejoren el pronóstico de vida.</w:t>
      </w:r>
    </w:p>
    <w:p w:rsidR="00000000" w:rsidDel="00000000" w:rsidP="00000000" w:rsidRDefault="00000000" w:rsidRPr="00000000" w14:paraId="0000005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1.7 Criterios bajo los cuales se considerará útil el resultado </w:t>
      </w:r>
    </w:p>
    <w:p w:rsidR="00000000" w:rsidDel="00000000" w:rsidP="00000000" w:rsidRDefault="00000000" w:rsidRPr="00000000" w14:paraId="00000059">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Rendimiento predictivo:</w:t>
      </w:r>
      <w:r w:rsidDel="00000000" w:rsidR="00000000" w:rsidRPr="00000000">
        <w:rPr>
          <w:rFonts w:ascii="Times New Roman" w:cs="Times New Roman" w:eastAsia="Times New Roman" w:hAnsi="Times New Roman"/>
          <w:rtl w:val="0"/>
        </w:rPr>
        <w:t xml:space="preserve"> superar claramente al baseline trivial en ROC-AUC y PR-AUC, y mejorar el recall de la clase Malignant frente a una regla simple del dominio sin elevar de forma desproporcionada los falsos positivos (precisión mínima aceptable a definir en el TF1). </w:t>
      </w:r>
      <w:r w:rsidDel="00000000" w:rsidR="00000000" w:rsidRPr="00000000">
        <w:rPr>
          <w:rFonts w:ascii="Times New Roman" w:cs="Times New Roman" w:eastAsia="Times New Roman" w:hAnsi="Times New Roman"/>
          <w:b w:val="1"/>
          <w:bCs w:val="1"/>
          <w:rtl w:val="0"/>
        </w:rPr>
        <w:t xml:space="preserve">Interpretabilidad clínica:</w:t>
      </w:r>
      <w:r w:rsidDel="00000000" w:rsidR="00000000" w:rsidRPr="00000000">
        <w:rPr>
          <w:rFonts w:ascii="Times New Roman" w:cs="Times New Roman" w:eastAsia="Times New Roman" w:hAnsi="Times New Roman"/>
          <w:rtl w:val="0"/>
        </w:rPr>
        <w:t xml:space="preserve"> que el modelo permita identificar qué variables tienen mayor peso y que estas sean coherentes con el conocimiento médico. </w:t>
      </w:r>
      <w:r w:rsidDel="00000000" w:rsidR="00000000" w:rsidRPr="00000000">
        <w:rPr>
          <w:rFonts w:ascii="Times New Roman" w:cs="Times New Roman" w:eastAsia="Times New Roman" w:hAnsi="Times New Roman"/>
          <w:b w:val="1"/>
          <w:bCs w:val="1"/>
          <w:rtl w:val="0"/>
        </w:rPr>
        <w:t xml:space="preserve">Uso práctico:</w:t>
      </w:r>
      <w:r w:rsidDel="00000000" w:rsidR="00000000" w:rsidRPr="00000000">
        <w:rPr>
          <w:rFonts w:ascii="Times New Roman" w:cs="Times New Roman" w:eastAsia="Times New Roman" w:hAnsi="Times New Roman"/>
          <w:rtl w:val="0"/>
        </w:rPr>
        <w:t xml:space="preserve"> que el modelo pueda aplicarse a nuevos pacientes mediante un flujo reproducible (Pipeline) y, en el TF1, una interfaz sencilla.</w:t>
      </w:r>
    </w:p>
    <w:p w:rsidR="00000000" w:rsidDel="00000000" w:rsidP="00000000" w:rsidRDefault="00000000" w:rsidRPr="00000000" w14:paraId="0000005A">
      <w:pPr>
        <w:spacing w:after="240" w:before="240" w:lineRule="auto"/>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rtl w:val="0"/>
        </w:rPr>
        <w:t xml:space="preserve">2. Dataset y Procedencia</w:t>
      </w:r>
      <w:r w:rsidDel="00000000" w:rsidR="00000000" w:rsidRPr="00000000">
        <w:rPr>
          <w:rtl w:val="0"/>
        </w:rPr>
      </w:r>
    </w:p>
    <w:p w:rsidR="00000000" w:rsidDel="00000000" w:rsidP="00000000" w:rsidRDefault="00000000" w:rsidRPr="00000000" w14:paraId="0000005B">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2.1 Fuente y procedencia</w:t>
      </w:r>
      <w:r w:rsidDel="00000000" w:rsidR="00000000" w:rsidRPr="00000000">
        <w:rPr>
          <w:rtl w:val="0"/>
        </w:rPr>
      </w:r>
    </w:p>
    <w:p w:rsidR="00000000" w:rsidDel="00000000" w:rsidP="00000000" w:rsidRDefault="00000000" w:rsidRPr="00000000" w14:paraId="0000005C">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conjunto de datos proviene de la plataforma pública Kaggle: </w:t>
      </w:r>
      <w:r w:rsidDel="00000000" w:rsidR="00000000" w:rsidRPr="00000000">
        <w:rPr>
          <w:rFonts w:ascii="Times New Roman" w:cs="Times New Roman" w:eastAsia="Times New Roman" w:hAnsi="Times New Roman"/>
          <w:b w:val="1"/>
          <w:bCs w:val="1"/>
          <w:rtl w:val="0"/>
        </w:rPr>
        <w:t xml:space="preserve">Thyroid Cancer Risk Dataset</w:t>
      </w:r>
      <w:r w:rsidDel="00000000" w:rsidR="00000000" w:rsidRPr="00000000">
        <w:rPr>
          <w:rFonts w:ascii="Times New Roman" w:cs="Times New Roman" w:eastAsia="Times New Roman" w:hAnsi="Times New Roman"/>
          <w:rtl w:val="0"/>
        </w:rPr>
        <w:t xml:space="preserve">, publicado por Bhargav Chirumamilla en 2025 (archivo thyroid_cancer_risk_data.csv). Se trata de un dataset publicado con fines educativos y de investigación que reúne información demográfica, antecedentes, perfil hormonal y características del nódulo tiroideo. Disponible en: https://www.kaggle.com/datasets/bhargavchirumamilla/thyroid-cancer-risk-dataset</w:t>
      </w:r>
    </w:p>
    <w:p w:rsidR="00000000" w:rsidDel="00000000" w:rsidP="00000000" w:rsidRDefault="00000000" w:rsidRPr="00000000" w14:paraId="0000005D">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2.2 Número de observaciones y variables</w:t>
      </w:r>
      <w:r w:rsidDel="00000000" w:rsidR="00000000" w:rsidRPr="00000000">
        <w:rPr>
          <w:rtl w:val="0"/>
        </w:rPr>
      </w:r>
    </w:p>
    <w:tbl>
      <w:tblPr>
        <w:tblStyle w:val="Table1"/>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00"/>
        <w:gridCol w:w="6200"/>
        <w:tblGridChange w:id="0">
          <w:tblGrid>
            <w:gridCol w:w="3100"/>
            <w:gridCol w:w="6200"/>
          </w:tblGrid>
        </w:tblGridChange>
      </w:tblGrid>
      <w:tr>
        <w:trPr>
          <w:cantSplit w:val="1"/>
          <w:tblHeader w:val="1"/>
        </w:trPr>
        <w:tc>
          <w:tcPr>
            <w:shd w:fill="1f3864" w:val="clear"/>
          </w:tcPr>
          <w:p w:rsidR="00000000" w:rsidDel="00000000" w:rsidP="00000000" w:rsidRDefault="00000000" w:rsidRPr="00000000" w14:paraId="0000005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Elemento</w:t>
            </w:r>
            <w:r w:rsidDel="00000000" w:rsidR="00000000" w:rsidRPr="00000000">
              <w:rPr>
                <w:rtl w:val="0"/>
              </w:rPr>
            </w:r>
          </w:p>
        </w:tc>
        <w:tc>
          <w:tcPr>
            <w:shd w:fill="1f3864" w:val="clear"/>
          </w:tcPr>
          <w:p w:rsidR="00000000" w:rsidDel="00000000" w:rsidP="00000000" w:rsidRDefault="00000000" w:rsidRPr="00000000" w14:paraId="0000005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Valor</w:t>
            </w:r>
            <w:r w:rsidDel="00000000" w:rsidR="00000000" w:rsidRPr="00000000">
              <w:rPr>
                <w:rtl w:val="0"/>
              </w:rPr>
            </w:r>
          </w:p>
        </w:tc>
      </w:tr>
      <w:tr>
        <w:trPr>
          <w:cantSplit w:val="1"/>
          <w:tblHeader w:val="0"/>
        </w:trPr>
        <w:tc>
          <w:tcPr/>
          <w:p w:rsidR="00000000" w:rsidDel="00000000" w:rsidP="00000000" w:rsidRDefault="00000000" w:rsidRPr="00000000" w14:paraId="0000006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Observaciones (pacientes)</w:t>
            </w:r>
          </w:p>
        </w:tc>
        <w:tc>
          <w:tcPr/>
          <w:p w:rsidR="00000000" w:rsidDel="00000000" w:rsidP="00000000" w:rsidRDefault="00000000" w:rsidRPr="00000000" w14:paraId="000000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212 691</w:t>
            </w:r>
          </w:p>
        </w:tc>
      </w:tr>
      <w:tr>
        <w:trPr>
          <w:cantSplit w:val="1"/>
          <w:tblHeader w:val="0"/>
        </w:trPr>
        <w:tc>
          <w:tcPr/>
          <w:p w:rsidR="00000000" w:rsidDel="00000000" w:rsidP="00000000" w:rsidRDefault="00000000" w:rsidRPr="00000000" w14:paraId="000000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Variables totales</w:t>
            </w:r>
          </w:p>
        </w:tc>
        <w:tc>
          <w:tcPr/>
          <w:p w:rsidR="00000000" w:rsidDel="00000000" w:rsidP="00000000" w:rsidRDefault="00000000" w:rsidRPr="00000000" w14:paraId="000000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r>
      <w:tr>
        <w:trPr>
          <w:cantSplit w:val="1"/>
          <w:tblHeader w:val="0"/>
        </w:trPr>
        <w:tc>
          <w:tcPr/>
          <w:p w:rsidR="00000000" w:rsidDel="00000000" w:rsidP="00000000" w:rsidRDefault="00000000" w:rsidRPr="00000000" w14:paraId="000000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Predictoras numéricas</w:t>
            </w:r>
          </w:p>
        </w:tc>
        <w:tc>
          <w:tcPr/>
          <w:p w:rsidR="00000000" w:rsidDel="00000000" w:rsidP="00000000" w:rsidRDefault="00000000" w:rsidRPr="00000000" w14:paraId="000000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(Age, TSH_Level, T3_Level, T4_Level, Nodule_Size)</w:t>
            </w:r>
          </w:p>
        </w:tc>
      </w:tr>
      <w:tr>
        <w:trPr>
          <w:cantSplit w:val="1"/>
          <w:tblHeader w:val="0"/>
        </w:trPr>
        <w:tc>
          <w:tcPr/>
          <w:p w:rsidR="00000000" w:rsidDel="00000000" w:rsidP="00000000" w:rsidRDefault="00000000" w:rsidRPr="00000000" w14:paraId="000000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Predictoras categóricas</w:t>
            </w:r>
          </w:p>
        </w:tc>
        <w:tc>
          <w:tcPr/>
          <w:p w:rsidR="00000000" w:rsidDel="00000000" w:rsidP="00000000" w:rsidRDefault="00000000" w:rsidRPr="00000000" w14:paraId="000000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(7 binarias + Country y Ethnicity)</w:t>
            </w:r>
          </w:p>
        </w:tc>
      </w:tr>
      <w:tr>
        <w:trPr>
          <w:cantSplit w:val="1"/>
          <w:tblHeader w:val="0"/>
        </w:trPr>
        <w:tc>
          <w:tcPr/>
          <w:p w:rsidR="00000000" w:rsidDel="00000000" w:rsidP="00000000" w:rsidRDefault="00000000" w:rsidRPr="00000000" w14:paraId="000000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Identificador / excluidas</w:t>
            </w:r>
          </w:p>
        </w:tc>
        <w:tc>
          <w:tcPr/>
          <w:p w:rsidR="00000000" w:rsidDel="00000000" w:rsidP="00000000" w:rsidRDefault="00000000" w:rsidRPr="00000000" w14:paraId="000000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Patient_ID, Thyroid_Cancer_Risk</w:t>
            </w:r>
          </w:p>
        </w:tc>
      </w:tr>
      <w:tr>
        <w:trPr>
          <w:cantSplit w:val="1"/>
          <w:tblHeader w:val="0"/>
        </w:trPr>
        <w:tc>
          <w:tcPr/>
          <w:p w:rsidR="00000000" w:rsidDel="00000000" w:rsidP="00000000" w:rsidRDefault="00000000" w:rsidRPr="00000000" w14:paraId="000000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Variable objetivo</w:t>
            </w:r>
          </w:p>
        </w:tc>
        <w:tc>
          <w:tcPr/>
          <w:p w:rsidR="00000000" w:rsidDel="00000000" w:rsidP="00000000" w:rsidRDefault="00000000" w:rsidRPr="00000000" w14:paraId="000000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Diagnosis (Benign / Malignant)</w:t>
            </w:r>
          </w:p>
        </w:tc>
      </w:tr>
      <w:tr>
        <w:trPr>
          <w:cantSplit w:val="1"/>
          <w:tblHeader w:val="0"/>
        </w:trPr>
        <w:tc>
          <w:tcPr/>
          <w:p w:rsidR="00000000" w:rsidDel="00000000" w:rsidP="00000000" w:rsidRDefault="00000000" w:rsidRPr="00000000" w14:paraId="000000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Valores faltantes / duplicados</w:t>
            </w:r>
          </w:p>
        </w:tc>
        <w:tc>
          <w:tcPr/>
          <w:p w:rsidR="00000000" w:rsidDel="00000000" w:rsidP="00000000" w:rsidRDefault="00000000" w:rsidRPr="00000000" w14:paraId="000000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 / 0</w:t>
            </w:r>
          </w:p>
        </w:tc>
      </w:tr>
    </w:tbl>
    <w:p w:rsidR="00000000" w:rsidDel="00000000" w:rsidP="00000000" w:rsidRDefault="00000000" w:rsidRPr="00000000" w14:paraId="0000006E">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F">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2.3 Período temporal</w:t>
      </w:r>
      <w:r w:rsidDel="00000000" w:rsidR="00000000" w:rsidRPr="00000000">
        <w:rPr>
          <w:rtl w:val="0"/>
        </w:rPr>
      </w:r>
    </w:p>
    <w:p w:rsidR="00000000" w:rsidDel="00000000" w:rsidP="00000000" w:rsidRDefault="00000000" w:rsidRPr="00000000" w14:paraId="00000070">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dataset no incluye fechas ni un período temporal de recolección. Cada fila es una observación transversal de un paciente, por lo que no se requiere un tratamiento temporal (series de tiempo) y la separación de datos puede ser aleatoria estratificada.</w:t>
      </w:r>
    </w:p>
    <w:p w:rsidR="00000000" w:rsidDel="00000000" w:rsidP="00000000" w:rsidRDefault="00000000" w:rsidRPr="00000000" w14:paraId="00000071">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2.4 Variable objetivo</w:t>
      </w:r>
      <w:r w:rsidDel="00000000" w:rsidR="00000000" w:rsidRPr="00000000">
        <w:rPr>
          <w:rtl w:val="0"/>
        </w:rPr>
      </w:r>
    </w:p>
    <w:p w:rsidR="00000000" w:rsidDel="00000000" w:rsidP="00000000" w:rsidRDefault="00000000" w:rsidRPr="00000000" w14:paraId="00000072">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variable objetivo es </w:t>
      </w:r>
      <w:r w:rsidDel="00000000" w:rsidR="00000000" w:rsidRPr="00000000">
        <w:rPr>
          <w:rFonts w:ascii="Times New Roman" w:cs="Times New Roman" w:eastAsia="Times New Roman" w:hAnsi="Times New Roman"/>
          <w:b w:val="1"/>
          <w:bCs w:val="1"/>
          <w:rtl w:val="0"/>
        </w:rPr>
        <w:t xml:space="preserve">Diagnosis</w:t>
      </w:r>
      <w:r w:rsidDel="00000000" w:rsidR="00000000" w:rsidRPr="00000000">
        <w:rPr>
          <w:rFonts w:ascii="Times New Roman" w:cs="Times New Roman" w:eastAsia="Times New Roman" w:hAnsi="Times New Roman"/>
          <w:rtl w:val="0"/>
        </w:rPr>
        <w:t xml:space="preserve">, con dos clases: Benign (163 196 pacientes, 76.7 %) y Malignant (49 495 pacientes, 23.3 %). La clase positiva de interés es Malignant. La variable Thyroid_Cancer_Risk (Low / Medium / High) </w:t>
      </w:r>
      <w:r w:rsidDel="00000000" w:rsidR="00000000" w:rsidRPr="00000000">
        <w:rPr>
          <w:rFonts w:ascii="Times New Roman" w:cs="Times New Roman" w:eastAsia="Times New Roman" w:hAnsi="Times New Roman"/>
          <w:b w:val="1"/>
          <w:bCs w:val="1"/>
          <w:rtl w:val="0"/>
        </w:rPr>
        <w:t xml:space="preserve">no se utiliza como objetivo ni como predictor</w:t>
      </w:r>
      <w:r w:rsidDel="00000000" w:rsidR="00000000" w:rsidRPr="00000000">
        <w:rPr>
          <w:rFonts w:ascii="Times New Roman" w:cs="Times New Roman" w:eastAsia="Times New Roman" w:hAnsi="Times New Roman"/>
          <w:rtl w:val="0"/>
        </w:rPr>
        <w:t xml:space="preserve"> del modelo principal, por las razones expuestas en la sección 3.6; se emplea únicamente como regla de referencia (baseline del dominio).</w:t>
      </w:r>
    </w:p>
    <w:p w:rsidR="00000000" w:rsidDel="00000000" w:rsidP="00000000" w:rsidRDefault="00000000" w:rsidRPr="00000000" w14:paraId="00000073">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2.5 Diccionario de variables relevante</w:t>
      </w:r>
      <w:r w:rsidDel="00000000" w:rsidR="00000000" w:rsidRPr="00000000">
        <w:rPr>
          <w:rtl w:val="0"/>
        </w:rPr>
      </w:r>
    </w:p>
    <w:tbl>
      <w:tblPr>
        <w:tblStyle w:val="Table2"/>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229"/>
        <w:gridCol w:w="1259"/>
        <w:gridCol w:w="4262"/>
        <w:gridCol w:w="1550"/>
        <w:tblGridChange w:id="0">
          <w:tblGrid>
            <w:gridCol w:w="2229"/>
            <w:gridCol w:w="1259"/>
            <w:gridCol w:w="4262"/>
            <w:gridCol w:w="1550"/>
          </w:tblGrid>
        </w:tblGridChange>
      </w:tblGrid>
      <w:tr>
        <w:trPr>
          <w:cantSplit w:val="1"/>
          <w:tblHeader w:val="1"/>
        </w:trPr>
        <w:tc>
          <w:tcPr>
            <w:shd w:fill="1f3864" w:val="clear"/>
          </w:tcPr>
          <w:p w:rsidR="00000000" w:rsidDel="00000000" w:rsidP="00000000" w:rsidRDefault="00000000" w:rsidRPr="00000000" w14:paraId="000000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Variable</w:t>
            </w:r>
            <w:r w:rsidDel="00000000" w:rsidR="00000000" w:rsidRPr="00000000">
              <w:rPr>
                <w:rtl w:val="0"/>
              </w:rPr>
            </w:r>
          </w:p>
        </w:tc>
        <w:tc>
          <w:tcPr>
            <w:shd w:fill="1f3864" w:val="clear"/>
          </w:tcPr>
          <w:p w:rsidR="00000000" w:rsidDel="00000000" w:rsidP="00000000" w:rsidRDefault="00000000" w:rsidRPr="00000000" w14:paraId="0000007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Tipo</w:t>
            </w:r>
            <w:r w:rsidDel="00000000" w:rsidR="00000000" w:rsidRPr="00000000">
              <w:rPr>
                <w:rtl w:val="0"/>
              </w:rPr>
            </w:r>
          </w:p>
        </w:tc>
        <w:tc>
          <w:tcPr>
            <w:shd w:fill="1f3864" w:val="clear"/>
          </w:tcPr>
          <w:p w:rsidR="00000000" w:rsidDel="00000000" w:rsidP="00000000" w:rsidRDefault="00000000" w:rsidRPr="00000000" w14:paraId="000000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Descripción / valores</w:t>
            </w:r>
            <w:r w:rsidDel="00000000" w:rsidR="00000000" w:rsidRPr="00000000">
              <w:rPr>
                <w:rtl w:val="0"/>
              </w:rPr>
            </w:r>
          </w:p>
        </w:tc>
        <w:tc>
          <w:tcPr>
            <w:shd w:fill="1f3864" w:val="clear"/>
          </w:tcPr>
          <w:p w:rsidR="00000000" w:rsidDel="00000000" w:rsidP="00000000" w:rsidRDefault="00000000" w:rsidRPr="00000000" w14:paraId="000000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Rol</w:t>
            </w:r>
            <w:r w:rsidDel="00000000" w:rsidR="00000000" w:rsidRPr="00000000">
              <w:rPr>
                <w:rtl w:val="0"/>
              </w:rPr>
            </w:r>
          </w:p>
        </w:tc>
      </w:tr>
      <w:tr>
        <w:trPr>
          <w:cantSplit w:val="1"/>
          <w:tblHeader w:val="0"/>
        </w:trPr>
        <w:tc>
          <w:tcPr/>
          <w:p w:rsidR="00000000" w:rsidDel="00000000" w:rsidP="00000000" w:rsidRDefault="00000000" w:rsidRPr="00000000" w14:paraId="000000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Patient_ID</w:t>
            </w:r>
          </w:p>
        </w:tc>
        <w:tc>
          <w:tcPr/>
          <w:p w:rsidR="00000000" w:rsidDel="00000000" w:rsidP="00000000" w:rsidRDefault="00000000" w:rsidRPr="00000000" w14:paraId="000000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Entero</w:t>
            </w:r>
          </w:p>
        </w:tc>
        <w:tc>
          <w:tcPr/>
          <w:p w:rsidR="00000000" w:rsidDel="00000000" w:rsidP="00000000" w:rsidRDefault="00000000" w:rsidRPr="00000000" w14:paraId="000000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Identificador único del paciente</w:t>
            </w:r>
          </w:p>
        </w:tc>
        <w:tc>
          <w:tcPr/>
          <w:p w:rsidR="00000000" w:rsidDel="00000000" w:rsidP="00000000" w:rsidRDefault="00000000" w:rsidRPr="00000000" w14:paraId="000000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Excluida</w:t>
            </w:r>
          </w:p>
        </w:tc>
      </w:tr>
      <w:tr>
        <w:trPr>
          <w:cantSplit w:val="1"/>
          <w:tblHeader w:val="0"/>
        </w:trPr>
        <w:tc>
          <w:tcPr/>
          <w:p w:rsidR="00000000" w:rsidDel="00000000" w:rsidP="00000000" w:rsidRDefault="00000000" w:rsidRPr="00000000" w14:paraId="000000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w:t>
            </w:r>
          </w:p>
        </w:tc>
        <w:tc>
          <w:tcPr/>
          <w:p w:rsidR="00000000" w:rsidDel="00000000" w:rsidP="00000000" w:rsidRDefault="00000000" w:rsidRPr="00000000" w14:paraId="0000007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Numérica</w:t>
            </w:r>
          </w:p>
        </w:tc>
        <w:tc>
          <w:tcPr/>
          <w:p w:rsidR="00000000" w:rsidDel="00000000" w:rsidP="00000000" w:rsidRDefault="00000000" w:rsidRPr="00000000" w14:paraId="0000007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Edad en años (15–89)</w:t>
            </w:r>
          </w:p>
        </w:tc>
        <w:tc>
          <w:tcPr/>
          <w:p w:rsidR="00000000" w:rsidDel="00000000" w:rsidP="00000000" w:rsidRDefault="00000000" w:rsidRPr="00000000" w14:paraId="000000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w:t>
            </w:r>
          </w:p>
        </w:tc>
        <w:tc>
          <w:tcPr/>
          <w:p w:rsidR="00000000" w:rsidDel="00000000" w:rsidP="00000000" w:rsidRDefault="00000000" w:rsidRPr="00000000" w14:paraId="000000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Binaria</w:t>
            </w:r>
          </w:p>
        </w:tc>
        <w:tc>
          <w:tcPr/>
          <w:p w:rsidR="00000000" w:rsidDel="00000000" w:rsidP="00000000" w:rsidRDefault="00000000" w:rsidRPr="00000000" w14:paraId="000000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Female (60 %) / Male (40 %)</w:t>
            </w:r>
          </w:p>
        </w:tc>
        <w:tc>
          <w:tcPr/>
          <w:p w:rsidR="00000000" w:rsidDel="00000000" w:rsidP="00000000" w:rsidRDefault="00000000" w:rsidRPr="00000000" w14:paraId="000000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Country</w:t>
            </w:r>
          </w:p>
        </w:tc>
        <w:tc>
          <w:tcPr/>
          <w:p w:rsidR="00000000" w:rsidDel="00000000" w:rsidP="00000000" w:rsidRDefault="00000000" w:rsidRPr="00000000" w14:paraId="000000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Nominal</w:t>
            </w:r>
          </w:p>
        </w:tc>
        <w:tc>
          <w:tcPr/>
          <w:p w:rsidR="00000000" w:rsidDel="00000000" w:rsidP="00000000" w:rsidRDefault="00000000" w:rsidRPr="00000000" w14:paraId="000000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países (India 20 %, China 15 %, Nigeria 15 %, …)</w:t>
            </w:r>
          </w:p>
        </w:tc>
        <w:tc>
          <w:tcPr/>
          <w:p w:rsidR="00000000" w:rsidDel="00000000" w:rsidP="00000000" w:rsidRDefault="00000000" w:rsidRPr="00000000" w14:paraId="000000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Ethnicity</w:t>
            </w:r>
          </w:p>
        </w:tc>
        <w:tc>
          <w:tcPr/>
          <w:p w:rsidR="00000000" w:rsidDel="00000000" w:rsidP="00000000" w:rsidRDefault="00000000" w:rsidRPr="00000000" w14:paraId="000000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Nominal</w:t>
            </w:r>
          </w:p>
        </w:tc>
        <w:tc>
          <w:tcPr/>
          <w:p w:rsidR="00000000" w:rsidDel="00000000" w:rsidP="00000000" w:rsidRDefault="00000000" w:rsidRPr="00000000" w14:paraId="000000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Caucasian, Asian, African, Hispanic, Middle Eastern</w:t>
            </w:r>
          </w:p>
        </w:tc>
        <w:tc>
          <w:tcPr/>
          <w:p w:rsidR="00000000" w:rsidDel="00000000" w:rsidP="00000000" w:rsidRDefault="00000000" w:rsidRPr="00000000" w14:paraId="000000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Family_History</w:t>
            </w:r>
          </w:p>
        </w:tc>
        <w:tc>
          <w:tcPr/>
          <w:p w:rsidR="00000000" w:rsidDel="00000000" w:rsidP="00000000" w:rsidRDefault="00000000" w:rsidRPr="00000000" w14:paraId="000000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Binaria</w:t>
            </w:r>
          </w:p>
        </w:tc>
        <w:tc>
          <w:tcPr/>
          <w:p w:rsidR="00000000" w:rsidDel="00000000" w:rsidP="00000000" w:rsidRDefault="00000000" w:rsidRPr="00000000" w14:paraId="000000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Antecedente familiar de cáncer de tiroides (Yes 30 %)</w:t>
            </w:r>
          </w:p>
        </w:tc>
        <w:tc>
          <w:tcPr/>
          <w:p w:rsidR="00000000" w:rsidDel="00000000" w:rsidP="00000000" w:rsidRDefault="00000000" w:rsidRPr="00000000" w14:paraId="000000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Radiation_Exposure</w:t>
            </w:r>
          </w:p>
        </w:tc>
        <w:tc>
          <w:tcPr/>
          <w:p w:rsidR="00000000" w:rsidDel="00000000" w:rsidP="00000000" w:rsidRDefault="00000000" w:rsidRPr="00000000" w14:paraId="0000009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Binaria</w:t>
            </w:r>
          </w:p>
        </w:tc>
        <w:tc>
          <w:tcPr/>
          <w:p w:rsidR="00000000" w:rsidDel="00000000" w:rsidP="00000000" w:rsidRDefault="00000000" w:rsidRPr="00000000" w14:paraId="0000009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Exposición previa a radiación (Yes 15 %)</w:t>
            </w:r>
          </w:p>
        </w:tc>
        <w:tc>
          <w:tcPr/>
          <w:p w:rsidR="00000000" w:rsidDel="00000000" w:rsidP="00000000" w:rsidRDefault="00000000" w:rsidRPr="00000000" w14:paraId="000000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Iodine_Deficiency</w:t>
            </w:r>
          </w:p>
        </w:tc>
        <w:tc>
          <w:tcPr/>
          <w:p w:rsidR="00000000" w:rsidDel="00000000" w:rsidP="00000000" w:rsidRDefault="00000000" w:rsidRPr="00000000" w14:paraId="000000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Binaria</w:t>
            </w:r>
          </w:p>
        </w:tc>
        <w:tc>
          <w:tcPr/>
          <w:p w:rsidR="00000000" w:rsidDel="00000000" w:rsidP="00000000" w:rsidRDefault="00000000" w:rsidRPr="00000000" w14:paraId="0000009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Deficiencia de yodo (Yes 25 %)</w:t>
            </w:r>
          </w:p>
        </w:tc>
        <w:tc>
          <w:tcPr/>
          <w:p w:rsidR="00000000" w:rsidDel="00000000" w:rsidP="00000000" w:rsidRDefault="00000000" w:rsidRPr="00000000" w14:paraId="0000009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9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Smoking</w:t>
            </w:r>
          </w:p>
        </w:tc>
        <w:tc>
          <w:tcPr/>
          <w:p w:rsidR="00000000" w:rsidDel="00000000" w:rsidP="00000000" w:rsidRDefault="00000000" w:rsidRPr="00000000" w14:paraId="000000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Binaria</w:t>
            </w:r>
          </w:p>
        </w:tc>
        <w:tc>
          <w:tcPr/>
          <w:p w:rsidR="00000000" w:rsidDel="00000000" w:rsidP="00000000" w:rsidRDefault="00000000" w:rsidRPr="00000000" w14:paraId="000000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Fumador (Yes 20 %)</w:t>
            </w:r>
          </w:p>
        </w:tc>
        <w:tc>
          <w:tcPr/>
          <w:p w:rsidR="00000000" w:rsidDel="00000000" w:rsidP="00000000" w:rsidRDefault="00000000" w:rsidRPr="00000000" w14:paraId="000000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Obesity</w:t>
            </w:r>
          </w:p>
        </w:tc>
        <w:tc>
          <w:tcPr/>
          <w:p w:rsidR="00000000" w:rsidDel="00000000" w:rsidP="00000000" w:rsidRDefault="00000000" w:rsidRPr="00000000" w14:paraId="000000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Binaria</w:t>
            </w:r>
          </w:p>
        </w:tc>
        <w:tc>
          <w:tcPr/>
          <w:p w:rsidR="00000000" w:rsidDel="00000000" w:rsidP="00000000" w:rsidRDefault="00000000" w:rsidRPr="00000000" w14:paraId="000000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Obesidad (Yes 30 %)</w:t>
            </w:r>
          </w:p>
        </w:tc>
        <w:tc>
          <w:tcPr/>
          <w:p w:rsidR="00000000" w:rsidDel="00000000" w:rsidP="00000000" w:rsidRDefault="00000000" w:rsidRPr="00000000" w14:paraId="000000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Diabetes</w:t>
            </w:r>
          </w:p>
        </w:tc>
        <w:tc>
          <w:tcPr/>
          <w:p w:rsidR="00000000" w:rsidDel="00000000" w:rsidP="00000000" w:rsidRDefault="00000000" w:rsidRPr="00000000" w14:paraId="000000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Binaria</w:t>
            </w:r>
          </w:p>
        </w:tc>
        <w:tc>
          <w:tcPr/>
          <w:p w:rsidR="00000000" w:rsidDel="00000000" w:rsidP="00000000" w:rsidRDefault="00000000" w:rsidRPr="00000000" w14:paraId="000000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Diabetes (Yes 20 %)</w:t>
            </w:r>
          </w:p>
        </w:tc>
        <w:tc>
          <w:tcPr/>
          <w:p w:rsidR="00000000" w:rsidDel="00000000" w:rsidP="00000000" w:rsidRDefault="00000000" w:rsidRPr="00000000" w14:paraId="000000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TSH_Level</w:t>
            </w:r>
          </w:p>
        </w:tc>
        <w:tc>
          <w:tcPr/>
          <w:p w:rsidR="00000000" w:rsidDel="00000000" w:rsidP="00000000" w:rsidRDefault="00000000" w:rsidRPr="00000000" w14:paraId="000000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Numérica</w:t>
            </w:r>
          </w:p>
        </w:tc>
        <w:tc>
          <w:tcPr/>
          <w:p w:rsidR="00000000" w:rsidDel="00000000" w:rsidP="00000000" w:rsidRDefault="00000000" w:rsidRPr="00000000" w14:paraId="000000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Hormona estimulante de tiroides, mIU/L (0.1–10)</w:t>
            </w:r>
          </w:p>
        </w:tc>
        <w:tc>
          <w:tcPr/>
          <w:p w:rsidR="00000000" w:rsidDel="00000000" w:rsidP="00000000" w:rsidRDefault="00000000" w:rsidRPr="00000000" w14:paraId="000000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T3_Level</w:t>
            </w:r>
          </w:p>
        </w:tc>
        <w:tc>
          <w:tcPr/>
          <w:p w:rsidR="00000000" w:rsidDel="00000000" w:rsidP="00000000" w:rsidRDefault="00000000" w:rsidRPr="00000000" w14:paraId="000000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Numérica</w:t>
            </w:r>
          </w:p>
        </w:tc>
        <w:tc>
          <w:tcPr/>
          <w:p w:rsidR="00000000" w:rsidDel="00000000" w:rsidP="00000000" w:rsidRDefault="00000000" w:rsidRPr="00000000" w14:paraId="000000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Triyodotironina (0.5–3.5)</w:t>
            </w:r>
          </w:p>
        </w:tc>
        <w:tc>
          <w:tcPr/>
          <w:p w:rsidR="00000000" w:rsidDel="00000000" w:rsidP="00000000" w:rsidRDefault="00000000" w:rsidRPr="00000000" w14:paraId="000000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T4_Level</w:t>
            </w:r>
          </w:p>
        </w:tc>
        <w:tc>
          <w:tcPr/>
          <w:p w:rsidR="00000000" w:rsidDel="00000000" w:rsidP="00000000" w:rsidRDefault="00000000" w:rsidRPr="00000000" w14:paraId="000000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Numérica</w:t>
            </w:r>
          </w:p>
        </w:tc>
        <w:tc>
          <w:tcPr/>
          <w:p w:rsidR="00000000" w:rsidDel="00000000" w:rsidP="00000000" w:rsidRDefault="00000000" w:rsidRPr="00000000" w14:paraId="000000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Tiroxina (4.5–12)</w:t>
            </w:r>
          </w:p>
        </w:tc>
        <w:tc>
          <w:tcPr/>
          <w:p w:rsidR="00000000" w:rsidDel="00000000" w:rsidP="00000000" w:rsidRDefault="00000000" w:rsidRPr="00000000" w14:paraId="000000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Nodule_Size</w:t>
            </w:r>
          </w:p>
        </w:tc>
        <w:tc>
          <w:tcPr/>
          <w:p w:rsidR="00000000" w:rsidDel="00000000" w:rsidP="00000000" w:rsidRDefault="00000000" w:rsidRPr="00000000" w14:paraId="000000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Numérica</w:t>
            </w:r>
          </w:p>
        </w:tc>
        <w:tc>
          <w:tcPr/>
          <w:p w:rsidR="00000000" w:rsidDel="00000000" w:rsidP="00000000" w:rsidRDefault="00000000" w:rsidRPr="00000000" w14:paraId="000000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Tamaño del nódulo en cm (0–5)</w:t>
            </w:r>
          </w:p>
        </w:tc>
        <w:tc>
          <w:tcPr/>
          <w:p w:rsidR="00000000" w:rsidDel="00000000" w:rsidP="00000000" w:rsidRDefault="00000000" w:rsidRPr="00000000" w14:paraId="000000B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Predictor</w:t>
            </w:r>
          </w:p>
        </w:tc>
      </w:tr>
      <w:tr>
        <w:trPr>
          <w:cantSplit w:val="1"/>
          <w:tblHeader w:val="0"/>
        </w:trPr>
        <w:tc>
          <w:tcPr/>
          <w:p w:rsidR="00000000" w:rsidDel="00000000" w:rsidP="00000000" w:rsidRDefault="00000000" w:rsidRPr="00000000" w14:paraId="000000B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Thyroid_Cancer_Risk</w:t>
            </w:r>
          </w:p>
        </w:tc>
        <w:tc>
          <w:tcPr/>
          <w:p w:rsidR="00000000" w:rsidDel="00000000" w:rsidP="00000000" w:rsidRDefault="00000000" w:rsidRPr="00000000" w14:paraId="000000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Ordinal</w:t>
            </w:r>
          </w:p>
        </w:tc>
        <w:tc>
          <w:tcPr/>
          <w:p w:rsidR="00000000" w:rsidDel="00000000" w:rsidP="00000000" w:rsidRDefault="00000000" w:rsidRPr="00000000" w14:paraId="000000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Low / Medium / High (puntaje precalculado)</w:t>
            </w:r>
          </w:p>
        </w:tc>
        <w:tc>
          <w:tcPr/>
          <w:p w:rsidR="00000000" w:rsidDel="00000000" w:rsidP="00000000" w:rsidRDefault="00000000" w:rsidRPr="00000000" w14:paraId="000000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Excluida (referencia)</w:t>
            </w:r>
          </w:p>
        </w:tc>
      </w:tr>
      <w:tr>
        <w:trPr>
          <w:cantSplit w:val="1"/>
          <w:tblHeader w:val="0"/>
        </w:trPr>
        <w:tc>
          <w:tcPr/>
          <w:p w:rsidR="00000000" w:rsidDel="00000000" w:rsidP="00000000" w:rsidRDefault="00000000" w:rsidRPr="00000000" w14:paraId="000000B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Diagnosis</w:t>
            </w:r>
          </w:p>
        </w:tc>
        <w:tc>
          <w:tcPr/>
          <w:p w:rsidR="00000000" w:rsidDel="00000000" w:rsidP="00000000" w:rsidRDefault="00000000" w:rsidRPr="00000000" w14:paraId="000000B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Binaria</w:t>
            </w:r>
          </w:p>
        </w:tc>
        <w:tc>
          <w:tcPr/>
          <w:p w:rsidR="00000000" w:rsidDel="00000000" w:rsidP="00000000" w:rsidRDefault="00000000" w:rsidRPr="00000000" w14:paraId="000000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Benign / Malignant</w:t>
            </w:r>
          </w:p>
        </w:tc>
        <w:tc>
          <w:tcPr/>
          <w:p w:rsidR="00000000" w:rsidDel="00000000" w:rsidP="00000000" w:rsidRDefault="00000000" w:rsidRPr="00000000" w14:paraId="000000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Objetivo</w:t>
            </w:r>
          </w:p>
        </w:tc>
      </w:tr>
    </w:tbl>
    <w:p w:rsidR="00000000" w:rsidDel="00000000" w:rsidP="00000000" w:rsidRDefault="00000000" w:rsidRPr="00000000" w14:paraId="000000BC">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D">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2.6 Licencia o condiciones de uso</w:t>
      </w:r>
      <w:r w:rsidDel="00000000" w:rsidR="00000000" w:rsidRPr="00000000">
        <w:rPr>
          <w:rtl w:val="0"/>
        </w:rPr>
      </w:r>
    </w:p>
    <w:p w:rsidR="00000000" w:rsidDel="00000000" w:rsidP="00000000" w:rsidRDefault="00000000" w:rsidRPr="00000000" w14:paraId="000000BE">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dataset es de acceso público en Kaggle y se utiliza exclusivamente con fines académicos. La página del dataset no declara una licencia explícita en sus metadatos públicos, por lo que se usa únicamente con fines académicos y citando la fuente. Los datos no contienen información personal identificable (el Patient_ID es un correlativo).</w:t>
      </w:r>
    </w:p>
    <w:p w:rsidR="00000000" w:rsidDel="00000000" w:rsidP="00000000" w:rsidRDefault="00000000" w:rsidRPr="00000000" w14:paraId="000000BF">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2.7 Limitaciones conocidas del dataset</w:t>
      </w:r>
      <w:r w:rsidDel="00000000" w:rsidR="00000000" w:rsidRPr="00000000">
        <w:rPr>
          <w:rtl w:val="0"/>
        </w:rPr>
      </w:r>
    </w:p>
    <w:p w:rsidR="00000000" w:rsidDel="00000000" w:rsidP="00000000" w:rsidRDefault="00000000" w:rsidRPr="00000000" w14:paraId="000000C0">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Origen probablemente sintético.</w:t>
      </w:r>
      <w:r w:rsidDel="00000000" w:rsidR="00000000" w:rsidRPr="00000000">
        <w:rPr>
          <w:rFonts w:ascii="Times New Roman" w:cs="Times New Roman" w:eastAsia="Times New Roman" w:hAnsi="Times New Roman"/>
          <w:rtl w:val="0"/>
        </w:rPr>
        <w:t xml:space="preserve"> Las variables numéricas tienen distribuciones uniformes, las hormonas no se correlacionan entre sí (en la realidad TSH y T4 están relacionadas), la composición étnica es idéntica en todos los países y las proporciones de las binarias son números redondos (60/40, 70/30, 85/15). Los resultados no deben extrapolarse a pacientes reales.</w:t>
      </w:r>
    </w:p>
    <w:p w:rsidR="00000000" w:rsidDel="00000000" w:rsidP="00000000" w:rsidRDefault="00000000" w:rsidRPr="00000000" w14:paraId="000000C1">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Señal predictiva débil.</w:t>
      </w:r>
      <w:r w:rsidDel="00000000" w:rsidR="00000000" w:rsidRPr="00000000">
        <w:rPr>
          <w:rFonts w:ascii="Times New Roman" w:cs="Times New Roman" w:eastAsia="Times New Roman" w:hAnsi="Times New Roman"/>
          <w:rtl w:val="0"/>
        </w:rPr>
        <w:t xml:space="preserve"> El perfil hormonal, el tamaño del nódulo y la edad no difieren entre benignos y malignos.</w:t>
      </w:r>
    </w:p>
    <w:p w:rsidR="00000000" w:rsidDel="00000000" w:rsidP="00000000" w:rsidRDefault="00000000" w:rsidRPr="00000000" w14:paraId="000000C2">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Variable de riesgo de origen desconocido.</w:t>
      </w:r>
      <w:r w:rsidDel="00000000" w:rsidR="00000000" w:rsidRPr="00000000">
        <w:rPr>
          <w:rFonts w:ascii="Times New Roman" w:cs="Times New Roman" w:eastAsia="Times New Roman" w:hAnsi="Times New Roman"/>
          <w:rtl w:val="0"/>
        </w:rPr>
        <w:t xml:space="preserve"> Thyroid_Cancer_Risk es un puntaje precalculado sin documentación sobre cómo ni cuándo se obtuvo; además, las categorías Low y Medium son indistinguibles.</w:t>
      </w:r>
    </w:p>
    <w:p w:rsidR="00000000" w:rsidDel="00000000" w:rsidP="00000000" w:rsidRDefault="00000000" w:rsidRPr="00000000" w14:paraId="000000C3">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Ausencia de variables clínicas clave</w:t>
      </w:r>
      <w:r w:rsidDel="00000000" w:rsidR="00000000" w:rsidRPr="00000000">
        <w:rPr>
          <w:rFonts w:ascii="Times New Roman" w:cs="Times New Roman" w:eastAsia="Times New Roman" w:hAnsi="Times New Roman"/>
          <w:rtl w:val="0"/>
        </w:rPr>
        <w:t xml:space="preserve">, como la clasificación ecográfica (TI-RADS), la citología (Bethesda) o las características morfológicas del nódulo.</w:t>
      </w:r>
    </w:p>
    <w:p w:rsidR="00000000" w:rsidDel="00000000" w:rsidP="00000000" w:rsidRDefault="00000000" w:rsidRPr="00000000" w14:paraId="000000C4">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Sin dimensión temporal</w:t>
      </w:r>
      <w:r w:rsidDel="00000000" w:rsidR="00000000" w:rsidRPr="00000000">
        <w:rPr>
          <w:rFonts w:ascii="Times New Roman" w:cs="Times New Roman" w:eastAsia="Times New Roman" w:hAnsi="Times New Roman"/>
          <w:rtl w:val="0"/>
        </w:rPr>
        <w:t xml:space="preserve"> ni información sobre unidades exactas de laboratorio.</w:t>
      </w:r>
    </w:p>
    <w:p w:rsidR="00000000" w:rsidDel="00000000" w:rsidP="00000000" w:rsidRDefault="00000000" w:rsidRPr="00000000" w14:paraId="000000C5">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2.8 Justificación de por qué el dataset es adecuado para el problema</w:t>
      </w:r>
      <w:r w:rsidDel="00000000" w:rsidR="00000000" w:rsidRPr="00000000">
        <w:rPr>
          <w:rtl w:val="0"/>
        </w:rPr>
      </w:r>
    </w:p>
    <w:p w:rsidR="00000000" w:rsidDel="00000000" w:rsidP="00000000" w:rsidRDefault="00000000" w:rsidRPr="00000000" w14:paraId="000000C6">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pesar de sus limitaciones, el dataset es adecuado para el objetivo académico del proyecto: (1) contiene una variable objetivo binaria claramente definida; (2) su tamaño (más de 212 mil registros) permite separar train, validation y test con estimaciones estables; (3) combina variables numéricas y categóricas, lo que obliga a diseñar un preprocesamiento diferenciado; (4) presenta desbalance de clases, que exige elegir métricas apropiadas; y (5) sus problemas de validez son en sí mismos un caso de estudio sobre análisis crítico, fuga de información e interpretación responsable.</w:t>
      </w:r>
    </w:p>
    <w:p w:rsidR="00000000" w:rsidDel="00000000" w:rsidP="00000000" w:rsidRDefault="00000000" w:rsidRPr="00000000" w14:paraId="000000C7">
      <w:pPr>
        <w:spacing w:after="240" w:before="240" w:lineRule="auto"/>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rtl w:val="0"/>
        </w:rPr>
        <w:t xml:space="preserve">3. Análisis Exploratorio de Datos (EDA)</w:t>
      </w:r>
      <w:r w:rsidDel="00000000" w:rsidR="00000000" w:rsidRPr="00000000">
        <w:rPr>
          <w:rtl w:val="0"/>
        </w:rPr>
      </w:r>
    </w:p>
    <w:p w:rsidR="00000000" w:rsidDel="00000000" w:rsidP="00000000" w:rsidRDefault="00000000" w:rsidRPr="00000000" w14:paraId="000000C8">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EDA se organizó en torno a preguntas concretas: ¿qué tan desbalanceado está el diagnóstico?, ¿qué variables diferencian a los pacientes malignos de los benignos?, ¿qué relación existe entre el puntaje de riesgo y el diagnóstico? y ¿hay patrones que comprometan la validez de los datos? En cada caso se distingue lo que muestran los datos de la interpretación del grupo.</w:t>
      </w:r>
    </w:p>
    <w:p w:rsidR="00000000" w:rsidDel="00000000" w:rsidP="00000000" w:rsidRDefault="00000000" w:rsidRPr="00000000" w14:paraId="000000C9">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3.1 Distribuciones relevantes</w:t>
      </w:r>
      <w:r w:rsidDel="00000000" w:rsidR="00000000" w:rsidRPr="00000000">
        <w:rPr>
          <w:rtl w:val="0"/>
        </w:rPr>
      </w:r>
    </w:p>
    <w:p w:rsidR="00000000" w:rsidDel="00000000" w:rsidP="00000000" w:rsidRDefault="00000000" w:rsidRPr="00000000" w14:paraId="000000CA">
      <w:pPr>
        <w:keepNext w:val="1"/>
        <w:spacing w:after="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852160" cy="1597732"/>
            <wp:effectExtent b="0" l="0" r="0" t="0"/>
            <wp:docPr id="119"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852160" cy="1597732"/>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spacing w:after="16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Figura 1. Densidad de las variables numéricas según diagnóstico.</w:t>
      </w:r>
      <w:r w:rsidDel="00000000" w:rsidR="00000000" w:rsidRPr="00000000">
        <w:rPr>
          <w:rtl w:val="0"/>
        </w:rPr>
      </w:r>
    </w:p>
    <w:tbl>
      <w:tblPr>
        <w:tblStyle w:val="Table3"/>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60"/>
        <w:gridCol w:w="1860"/>
        <w:gridCol w:w="1860"/>
        <w:gridCol w:w="1860"/>
        <w:gridCol w:w="1860"/>
        <w:tblGridChange w:id="0">
          <w:tblGrid>
            <w:gridCol w:w="1860"/>
            <w:gridCol w:w="1860"/>
            <w:gridCol w:w="1860"/>
            <w:gridCol w:w="1860"/>
            <w:gridCol w:w="1860"/>
          </w:tblGrid>
        </w:tblGridChange>
      </w:tblGrid>
      <w:tr>
        <w:trPr>
          <w:cantSplit w:val="1"/>
          <w:tblHeader w:val="1"/>
        </w:trPr>
        <w:tc>
          <w:tcPr>
            <w:shd w:fill="1f3864" w:val="clear"/>
          </w:tcPr>
          <w:p w:rsidR="00000000" w:rsidDel="00000000" w:rsidP="00000000" w:rsidRDefault="00000000" w:rsidRPr="00000000" w14:paraId="000000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Variable</w:t>
            </w:r>
            <w:r w:rsidDel="00000000" w:rsidR="00000000" w:rsidRPr="00000000">
              <w:rPr>
                <w:rtl w:val="0"/>
              </w:rPr>
            </w:r>
          </w:p>
        </w:tc>
        <w:tc>
          <w:tcPr>
            <w:shd w:fill="1f3864" w:val="clear"/>
          </w:tcPr>
          <w:p w:rsidR="00000000" w:rsidDel="00000000" w:rsidP="00000000" w:rsidRDefault="00000000" w:rsidRPr="00000000" w14:paraId="000000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Media Benign</w:t>
            </w:r>
            <w:r w:rsidDel="00000000" w:rsidR="00000000" w:rsidRPr="00000000">
              <w:rPr>
                <w:rtl w:val="0"/>
              </w:rPr>
            </w:r>
          </w:p>
        </w:tc>
        <w:tc>
          <w:tcPr>
            <w:shd w:fill="1f3864" w:val="clear"/>
          </w:tcPr>
          <w:p w:rsidR="00000000" w:rsidDel="00000000" w:rsidP="00000000" w:rsidRDefault="00000000" w:rsidRPr="00000000" w14:paraId="000000C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Media Malignant</w:t>
            </w:r>
            <w:r w:rsidDel="00000000" w:rsidR="00000000" w:rsidRPr="00000000">
              <w:rPr>
                <w:rtl w:val="0"/>
              </w:rPr>
            </w:r>
          </w:p>
        </w:tc>
        <w:tc>
          <w:tcPr>
            <w:shd w:fill="1f3864" w:val="clear"/>
          </w:tcPr>
          <w:p w:rsidR="00000000" w:rsidDel="00000000" w:rsidP="00000000" w:rsidRDefault="00000000" w:rsidRPr="00000000" w14:paraId="000000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Diferencia</w:t>
            </w:r>
            <w:r w:rsidDel="00000000" w:rsidR="00000000" w:rsidRPr="00000000">
              <w:rPr>
                <w:rtl w:val="0"/>
              </w:rPr>
            </w:r>
          </w:p>
        </w:tc>
        <w:tc>
          <w:tcPr>
            <w:shd w:fill="1f3864" w:val="clear"/>
          </w:tcPr>
          <w:p w:rsidR="00000000" w:rsidDel="00000000" w:rsidP="00000000" w:rsidRDefault="00000000" w:rsidRPr="00000000" w14:paraId="000000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p-valor (Mann-Whitney)</w:t>
            </w:r>
            <w:r w:rsidDel="00000000" w:rsidR="00000000" w:rsidRPr="00000000">
              <w:rPr>
                <w:rtl w:val="0"/>
              </w:rPr>
            </w:r>
          </w:p>
        </w:tc>
      </w:tr>
      <w:tr>
        <w:trPr>
          <w:cantSplit w:val="1"/>
          <w:tblHeader w:val="0"/>
        </w:trPr>
        <w:tc>
          <w:tcPr/>
          <w:p w:rsidR="00000000" w:rsidDel="00000000" w:rsidP="00000000" w:rsidRDefault="00000000" w:rsidRPr="00000000" w14:paraId="000000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w:t>
            </w:r>
          </w:p>
        </w:tc>
        <w:tc>
          <w:tcPr/>
          <w:p w:rsidR="00000000" w:rsidDel="00000000" w:rsidP="00000000" w:rsidRDefault="00000000" w:rsidRPr="00000000" w14:paraId="000000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51.917</w:t>
            </w:r>
          </w:p>
        </w:tc>
        <w:tc>
          <w:tcPr/>
          <w:p w:rsidR="00000000" w:rsidDel="00000000" w:rsidP="00000000" w:rsidRDefault="00000000" w:rsidRPr="00000000" w14:paraId="000000D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51.923</w:t>
            </w:r>
          </w:p>
        </w:tc>
        <w:tc>
          <w:tcPr/>
          <w:p w:rsidR="00000000" w:rsidDel="00000000" w:rsidP="00000000" w:rsidRDefault="00000000" w:rsidRPr="00000000" w14:paraId="000000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0.006</w:t>
            </w:r>
          </w:p>
        </w:tc>
        <w:tc>
          <w:tcPr/>
          <w:p w:rsidR="00000000" w:rsidDel="00000000" w:rsidP="00000000" w:rsidRDefault="00000000" w:rsidRPr="00000000" w14:paraId="000000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0.958</w:t>
            </w:r>
          </w:p>
        </w:tc>
      </w:tr>
      <w:tr>
        <w:trPr>
          <w:cantSplit w:val="1"/>
          <w:tblHeader w:val="0"/>
        </w:trPr>
        <w:tc>
          <w:tcPr/>
          <w:p w:rsidR="00000000" w:rsidDel="00000000" w:rsidP="00000000" w:rsidRDefault="00000000" w:rsidRPr="00000000" w14:paraId="000000D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TSH_Level</w:t>
            </w:r>
          </w:p>
        </w:tc>
        <w:tc>
          <w:tcPr/>
          <w:p w:rsidR="00000000" w:rsidDel="00000000" w:rsidP="00000000" w:rsidRDefault="00000000" w:rsidRPr="00000000" w14:paraId="000000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5.049</w:t>
            </w:r>
          </w:p>
        </w:tc>
        <w:tc>
          <w:tcPr/>
          <w:p w:rsidR="00000000" w:rsidDel="00000000" w:rsidP="00000000" w:rsidRDefault="00000000" w:rsidRPr="00000000" w14:paraId="000000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5.031</w:t>
            </w:r>
          </w:p>
        </w:tc>
        <w:tc>
          <w:tcPr/>
          <w:p w:rsidR="00000000" w:rsidDel="00000000" w:rsidP="00000000" w:rsidRDefault="00000000" w:rsidRPr="00000000" w14:paraId="000000D9">
            <w:pPr>
              <w:spacing w:after="0" w:line="240" w:lineRule="auto"/>
              <w:rPr>
                <w:rFonts w:ascii="Times New Roman" w:cs="Times New Roman" w:eastAsia="Times New Roman" w:hAnsi="Times New Roman"/>
              </w:rPr>
            </w:pPr>
            <w:sdt>
              <w:sdtPr>
                <w:id w:val="1508582017"/>
                <w:tag w:val="goog_rdk_0"/>
              </w:sdtPr>
              <w:sdtContent>
                <w:r w:rsidDel="00000000" w:rsidR="00000000" w:rsidRPr="00000000">
                  <w:rPr>
                    <w:rFonts w:ascii="Gungsuh" w:cs="Gungsuh" w:eastAsia="Gungsuh" w:hAnsi="Gungsuh"/>
                    <w:rtl w:val="0"/>
                  </w:rPr>
                  <w:t xml:space="preserve">−0.018</w:t>
                </w:r>
              </w:sdtContent>
            </w:sdt>
          </w:p>
        </w:tc>
        <w:tc>
          <w:tcPr/>
          <w:p w:rsidR="00000000" w:rsidDel="00000000" w:rsidP="00000000" w:rsidRDefault="00000000" w:rsidRPr="00000000" w14:paraId="000000D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0.219</w:t>
            </w:r>
          </w:p>
        </w:tc>
      </w:tr>
      <w:tr>
        <w:trPr>
          <w:cantSplit w:val="1"/>
          <w:tblHeader w:val="0"/>
        </w:trPr>
        <w:tc>
          <w:tcPr/>
          <w:p w:rsidR="00000000" w:rsidDel="00000000" w:rsidP="00000000" w:rsidRDefault="00000000" w:rsidRPr="00000000" w14:paraId="000000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T3_Level</w:t>
            </w:r>
          </w:p>
        </w:tc>
        <w:tc>
          <w:tcPr/>
          <w:p w:rsidR="00000000" w:rsidDel="00000000" w:rsidP="00000000" w:rsidRDefault="00000000" w:rsidRPr="00000000" w14:paraId="000000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2.003</w:t>
            </w:r>
          </w:p>
        </w:tc>
        <w:tc>
          <w:tcPr/>
          <w:p w:rsidR="00000000" w:rsidDel="00000000" w:rsidP="00000000" w:rsidRDefault="00000000" w:rsidRPr="00000000" w14:paraId="000000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1.998</w:t>
            </w:r>
          </w:p>
        </w:tc>
        <w:tc>
          <w:tcPr/>
          <w:p w:rsidR="00000000" w:rsidDel="00000000" w:rsidP="00000000" w:rsidRDefault="00000000" w:rsidRPr="00000000" w14:paraId="000000DE">
            <w:pPr>
              <w:spacing w:after="0" w:line="240" w:lineRule="auto"/>
              <w:rPr>
                <w:rFonts w:ascii="Times New Roman" w:cs="Times New Roman" w:eastAsia="Times New Roman" w:hAnsi="Times New Roman"/>
              </w:rPr>
            </w:pPr>
            <w:sdt>
              <w:sdtPr>
                <w:id w:val="-225983826"/>
                <w:tag w:val="goog_rdk_1"/>
              </w:sdtPr>
              <w:sdtContent>
                <w:r w:rsidDel="00000000" w:rsidR="00000000" w:rsidRPr="00000000">
                  <w:rPr>
                    <w:rFonts w:ascii="Gungsuh" w:cs="Gungsuh" w:eastAsia="Gungsuh" w:hAnsi="Gungsuh"/>
                    <w:rtl w:val="0"/>
                  </w:rPr>
                  <w:t xml:space="preserve">−0.005</w:t>
                </w:r>
              </w:sdtContent>
            </w:sdt>
          </w:p>
        </w:tc>
        <w:tc>
          <w:tcPr/>
          <w:p w:rsidR="00000000" w:rsidDel="00000000" w:rsidP="00000000" w:rsidRDefault="00000000" w:rsidRPr="00000000" w14:paraId="000000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0.270</w:t>
            </w:r>
          </w:p>
        </w:tc>
      </w:tr>
      <w:tr>
        <w:trPr>
          <w:cantSplit w:val="1"/>
          <w:tblHeader w:val="0"/>
        </w:trPr>
        <w:tc>
          <w:tcPr/>
          <w:p w:rsidR="00000000" w:rsidDel="00000000" w:rsidP="00000000" w:rsidRDefault="00000000" w:rsidRPr="00000000" w14:paraId="000000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T4_Level</w:t>
            </w:r>
          </w:p>
        </w:tc>
        <w:tc>
          <w:tcPr/>
          <w:p w:rsidR="00000000" w:rsidDel="00000000" w:rsidP="00000000" w:rsidRDefault="00000000" w:rsidRPr="00000000" w14:paraId="000000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8.245</w:t>
            </w:r>
          </w:p>
        </w:tc>
        <w:tc>
          <w:tcPr/>
          <w:p w:rsidR="00000000" w:rsidDel="00000000" w:rsidP="00000000" w:rsidRDefault="00000000" w:rsidRPr="00000000" w14:paraId="000000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8.251</w:t>
            </w:r>
          </w:p>
        </w:tc>
        <w:tc>
          <w:tcPr/>
          <w:p w:rsidR="00000000" w:rsidDel="00000000" w:rsidP="00000000" w:rsidRDefault="00000000" w:rsidRPr="00000000" w14:paraId="000000E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0.006</w:t>
            </w:r>
          </w:p>
        </w:tc>
        <w:tc>
          <w:tcPr/>
          <w:p w:rsidR="00000000" w:rsidDel="00000000" w:rsidP="00000000" w:rsidRDefault="00000000" w:rsidRPr="00000000" w14:paraId="000000E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0.575</w:t>
            </w:r>
          </w:p>
        </w:tc>
      </w:tr>
      <w:tr>
        <w:trPr>
          <w:cantSplit w:val="1"/>
          <w:tblHeader w:val="0"/>
        </w:trPr>
        <w:tc>
          <w:tcPr/>
          <w:p w:rsidR="00000000" w:rsidDel="00000000" w:rsidP="00000000" w:rsidRDefault="00000000" w:rsidRPr="00000000" w14:paraId="000000E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Nodule_Size</w:t>
            </w:r>
          </w:p>
        </w:tc>
        <w:tc>
          <w:tcPr/>
          <w:p w:rsidR="00000000" w:rsidDel="00000000" w:rsidP="00000000" w:rsidRDefault="00000000" w:rsidRPr="00000000" w14:paraId="000000E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2.506</w:t>
            </w:r>
          </w:p>
        </w:tc>
        <w:tc>
          <w:tcPr/>
          <w:p w:rsidR="00000000" w:rsidDel="00000000" w:rsidP="00000000" w:rsidRDefault="00000000" w:rsidRPr="00000000" w14:paraId="000000E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2.496</w:t>
            </w:r>
          </w:p>
        </w:tc>
        <w:tc>
          <w:tcPr/>
          <w:p w:rsidR="00000000" w:rsidDel="00000000" w:rsidP="00000000" w:rsidRDefault="00000000" w:rsidRPr="00000000" w14:paraId="000000E8">
            <w:pPr>
              <w:spacing w:after="0" w:line="240" w:lineRule="auto"/>
              <w:rPr>
                <w:rFonts w:ascii="Times New Roman" w:cs="Times New Roman" w:eastAsia="Times New Roman" w:hAnsi="Times New Roman"/>
              </w:rPr>
            </w:pPr>
            <w:sdt>
              <w:sdtPr>
                <w:id w:val="1478076365"/>
                <w:tag w:val="goog_rdk_2"/>
              </w:sdtPr>
              <w:sdtContent>
                <w:r w:rsidDel="00000000" w:rsidR="00000000" w:rsidRPr="00000000">
                  <w:rPr>
                    <w:rFonts w:ascii="Gungsuh" w:cs="Gungsuh" w:eastAsia="Gungsuh" w:hAnsi="Gungsuh"/>
                    <w:rtl w:val="0"/>
                  </w:rPr>
                  <w:t xml:space="preserve">−0.010</w:t>
                </w:r>
              </w:sdtContent>
            </w:sdt>
          </w:p>
        </w:tc>
        <w:tc>
          <w:tcPr/>
          <w:p w:rsidR="00000000" w:rsidDel="00000000" w:rsidP="00000000" w:rsidRDefault="00000000" w:rsidRPr="00000000" w14:paraId="000000E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0.220</w:t>
            </w:r>
          </w:p>
        </w:tc>
      </w:tr>
    </w:tbl>
    <w:p w:rsidR="00000000" w:rsidDel="00000000" w:rsidP="00000000" w:rsidRDefault="00000000" w:rsidRPr="00000000" w14:paraId="000000EA">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 que muestran los datos:</w:t>
      </w:r>
      <w:r w:rsidDel="00000000" w:rsidR="00000000" w:rsidRPr="00000000">
        <w:rPr>
          <w:rFonts w:ascii="Times New Roman" w:cs="Times New Roman" w:eastAsia="Times New Roman" w:hAnsi="Times New Roman"/>
          <w:rtl w:val="0"/>
        </w:rPr>
        <w:t xml:space="preserve"> las cinco variables numéricas tienen distribuciones aproximadamente uniformes y prácticamente idénticas en ambos grupos; ninguna diferencia es estadísticamente significativa (p &gt; 0.2).</w:t>
      </w:r>
    </w:p>
    <w:p w:rsidR="00000000" w:rsidDel="00000000" w:rsidP="00000000" w:rsidRDefault="00000000" w:rsidRPr="00000000" w14:paraId="000000EC">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Interpretación del grupo:</w:t>
      </w:r>
      <w:r w:rsidDel="00000000" w:rsidR="00000000" w:rsidRPr="00000000">
        <w:rPr>
          <w:rFonts w:ascii="Times New Roman" w:cs="Times New Roman" w:eastAsia="Times New Roman" w:hAnsi="Times New Roman"/>
          <w:rtl w:val="0"/>
        </w:rPr>
        <w:t xml:space="preserve"> en este dataset ni el perfil hormonal ni el tamaño del nódulo discriminan el diagnóstico. Esto contradice la evidencia clínica y constituye una primera señal de que los datos fueron generados de manera sintética. No significa que estas variables carezcan de importancia en pacientes reales.</w:t>
      </w:r>
    </w:p>
    <w:p w:rsidR="00000000" w:rsidDel="00000000" w:rsidP="00000000" w:rsidRDefault="00000000" w:rsidRPr="00000000" w14:paraId="000000ED">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3.2 Análisis de la variable objetivo</w:t>
      </w:r>
      <w:r w:rsidDel="00000000" w:rsidR="00000000" w:rsidRPr="00000000">
        <w:rPr>
          <w:rtl w:val="0"/>
        </w:rPr>
      </w:r>
    </w:p>
    <w:p w:rsidR="00000000" w:rsidDel="00000000" w:rsidP="00000000" w:rsidRDefault="00000000" w:rsidRPr="00000000" w14:paraId="000000EE">
      <w:pPr>
        <w:keepNext w:val="1"/>
        <w:spacing w:after="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40480" cy="2522106"/>
            <wp:effectExtent b="0" l="0" r="0" t="0"/>
            <wp:docPr id="118"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3840480" cy="2522106"/>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spacing w:after="16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Figura 2. Distribución de la variable objetivo Diagnosis.</w:t>
      </w:r>
      <w:r w:rsidDel="00000000" w:rsidR="00000000" w:rsidRPr="00000000">
        <w:rPr>
          <w:rtl w:val="0"/>
        </w:rPr>
      </w:r>
    </w:p>
    <w:p w:rsidR="00000000" w:rsidDel="00000000" w:rsidP="00000000" w:rsidRDefault="00000000" w:rsidRPr="00000000" w14:paraId="000000F0">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 que muestran los datos:</w:t>
      </w:r>
      <w:r w:rsidDel="00000000" w:rsidR="00000000" w:rsidRPr="00000000">
        <w:rPr>
          <w:rFonts w:ascii="Times New Roman" w:cs="Times New Roman" w:eastAsia="Times New Roman" w:hAnsi="Times New Roman"/>
          <w:rtl w:val="0"/>
        </w:rPr>
        <w:t xml:space="preserve"> 76.7 % de los pacientes son benignos y 23.3 % malignos (razón aproximada 3.3 : 1).</w:t>
      </w:r>
    </w:p>
    <w:p w:rsidR="00000000" w:rsidDel="00000000" w:rsidP="00000000" w:rsidRDefault="00000000" w:rsidRPr="00000000" w14:paraId="000000F1">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Interpretación del grupo:</w:t>
      </w:r>
      <w:r w:rsidDel="00000000" w:rsidR="00000000" w:rsidRPr="00000000">
        <w:rPr>
          <w:rFonts w:ascii="Times New Roman" w:cs="Times New Roman" w:eastAsia="Times New Roman" w:hAnsi="Times New Roman"/>
          <w:rtl w:val="0"/>
        </w:rPr>
        <w:t xml:space="preserve"> el desbalance es moderado. Un modelo que prediga siempre «Benign» obtendría 76.7 % de accuracy sin detectar ningún caso maligno; por ello se descarta la accuracy como métrica principal y se emplean recall, precisión, F1, ROC-AUC y PR-AUC, junto con separación estratificada y pesos balanceados por clase.</w:t>
      </w:r>
    </w:p>
    <w:p w:rsidR="00000000" w:rsidDel="00000000" w:rsidP="00000000" w:rsidRDefault="00000000" w:rsidRPr="00000000" w14:paraId="000000F2">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3.3 Relaciones entre variables</w:t>
      </w:r>
      <w:r w:rsidDel="00000000" w:rsidR="00000000" w:rsidRPr="00000000">
        <w:rPr>
          <w:rtl w:val="0"/>
        </w:rPr>
      </w:r>
    </w:p>
    <w:p w:rsidR="00000000" w:rsidDel="00000000" w:rsidP="00000000" w:rsidRDefault="00000000" w:rsidRPr="00000000" w14:paraId="000000F3">
      <w:pPr>
        <w:keepNext w:val="1"/>
        <w:spacing w:after="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120640" cy="2694304"/>
            <wp:effectExtent b="0" l="0" r="0" t="0"/>
            <wp:docPr id="12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120640" cy="2694304"/>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16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Figura 3. Porcentaje de diagnósticos malignos según cada factor binario.</w:t>
      </w:r>
      <w:r w:rsidDel="00000000" w:rsidR="00000000" w:rsidRPr="00000000">
        <w:rPr>
          <w:rtl w:val="0"/>
        </w:rPr>
      </w:r>
    </w:p>
    <w:tbl>
      <w:tblPr>
        <w:tblStyle w:val="Table4"/>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60"/>
        <w:gridCol w:w="1860"/>
        <w:gridCol w:w="1860"/>
        <w:gridCol w:w="1860"/>
        <w:gridCol w:w="1860"/>
        <w:tblGridChange w:id="0">
          <w:tblGrid>
            <w:gridCol w:w="1860"/>
            <w:gridCol w:w="1860"/>
            <w:gridCol w:w="1860"/>
            <w:gridCol w:w="1860"/>
            <w:gridCol w:w="1860"/>
          </w:tblGrid>
        </w:tblGridChange>
      </w:tblGrid>
      <w:tr>
        <w:trPr>
          <w:cantSplit w:val="1"/>
          <w:tblHeader w:val="1"/>
        </w:trPr>
        <w:tc>
          <w:tcPr>
            <w:shd w:fill="1f3864" w:val="clear"/>
          </w:tcPr>
          <w:p w:rsidR="00000000" w:rsidDel="00000000" w:rsidP="00000000" w:rsidRDefault="00000000" w:rsidRPr="00000000" w14:paraId="000000F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Factor</w:t>
            </w:r>
            <w:r w:rsidDel="00000000" w:rsidR="00000000" w:rsidRPr="00000000">
              <w:rPr>
                <w:rtl w:val="0"/>
              </w:rPr>
            </w:r>
          </w:p>
        </w:tc>
        <w:tc>
          <w:tcPr>
            <w:shd w:fill="1f3864" w:val="clear"/>
          </w:tcPr>
          <w:p w:rsidR="00000000" w:rsidDel="00000000" w:rsidP="00000000" w:rsidRDefault="00000000" w:rsidRPr="00000000" w14:paraId="000000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 malignos (Sí)</w:t>
            </w:r>
            <w:r w:rsidDel="00000000" w:rsidR="00000000" w:rsidRPr="00000000">
              <w:rPr>
                <w:rtl w:val="0"/>
              </w:rPr>
            </w:r>
          </w:p>
        </w:tc>
        <w:tc>
          <w:tcPr>
            <w:shd w:fill="1f3864" w:val="clear"/>
          </w:tcPr>
          <w:p w:rsidR="00000000" w:rsidDel="00000000" w:rsidP="00000000" w:rsidRDefault="00000000" w:rsidRPr="00000000" w14:paraId="000000F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 malignos (No)</w:t>
            </w:r>
            <w:r w:rsidDel="00000000" w:rsidR="00000000" w:rsidRPr="00000000">
              <w:rPr>
                <w:rtl w:val="0"/>
              </w:rPr>
            </w:r>
          </w:p>
        </w:tc>
        <w:tc>
          <w:tcPr>
            <w:shd w:fill="1f3864" w:val="clear"/>
          </w:tcPr>
          <w:p w:rsidR="00000000" w:rsidDel="00000000" w:rsidP="00000000" w:rsidRDefault="00000000" w:rsidRPr="00000000" w14:paraId="000000F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Riesgo relativo</w:t>
            </w:r>
            <w:r w:rsidDel="00000000" w:rsidR="00000000" w:rsidRPr="00000000">
              <w:rPr>
                <w:rtl w:val="0"/>
              </w:rPr>
            </w:r>
          </w:p>
        </w:tc>
        <w:tc>
          <w:tcPr>
            <w:shd w:fill="1f3864" w:val="clear"/>
          </w:tcPr>
          <w:p w:rsidR="00000000" w:rsidDel="00000000" w:rsidP="00000000" w:rsidRDefault="00000000" w:rsidRPr="00000000" w14:paraId="000000F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V de Cramér</w:t>
            </w:r>
            <w:r w:rsidDel="00000000" w:rsidR="00000000" w:rsidRPr="00000000">
              <w:rPr>
                <w:rtl w:val="0"/>
              </w:rPr>
            </w:r>
          </w:p>
        </w:tc>
      </w:tr>
      <w:tr>
        <w:trPr>
          <w:cantSplit w:val="1"/>
          <w:tblHeader w:val="0"/>
        </w:trPr>
        <w:tc>
          <w:tcPr/>
          <w:p w:rsidR="00000000" w:rsidDel="00000000" w:rsidP="00000000" w:rsidRDefault="00000000" w:rsidRPr="00000000" w14:paraId="000000F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Family_History</w:t>
            </w:r>
          </w:p>
        </w:tc>
        <w:tc>
          <w:tcPr/>
          <w:p w:rsidR="00000000" w:rsidDel="00000000" w:rsidP="00000000" w:rsidRDefault="00000000" w:rsidRPr="00000000" w14:paraId="000000F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32.4 %</w:t>
            </w:r>
          </w:p>
        </w:tc>
        <w:tc>
          <w:tcPr/>
          <w:p w:rsidR="00000000" w:rsidDel="00000000" w:rsidP="00000000" w:rsidRDefault="00000000" w:rsidRPr="00000000" w14:paraId="000000F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19.4 %</w:t>
            </w:r>
          </w:p>
        </w:tc>
        <w:tc>
          <w:tcPr/>
          <w:p w:rsidR="00000000" w:rsidDel="00000000" w:rsidP="00000000" w:rsidRDefault="00000000" w:rsidRPr="00000000" w14:paraId="000000F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1.67</w:t>
            </w:r>
          </w:p>
        </w:tc>
        <w:tc>
          <w:tcPr/>
          <w:p w:rsidR="00000000" w:rsidDel="00000000" w:rsidP="00000000" w:rsidRDefault="00000000" w:rsidRPr="00000000" w14:paraId="000000F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0.141</w:t>
            </w:r>
          </w:p>
        </w:tc>
      </w:tr>
      <w:tr>
        <w:trPr>
          <w:cantSplit w:val="1"/>
          <w:tblHeader w:val="0"/>
        </w:trPr>
        <w:tc>
          <w:tcPr/>
          <w:p w:rsidR="00000000" w:rsidDel="00000000" w:rsidP="00000000" w:rsidRDefault="00000000" w:rsidRPr="00000000" w14:paraId="000000F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Iodine_Deficiency</w:t>
            </w:r>
          </w:p>
        </w:tc>
        <w:tc>
          <w:tcPr/>
          <w:p w:rsidR="00000000" w:rsidDel="00000000" w:rsidP="00000000" w:rsidRDefault="00000000" w:rsidRPr="00000000" w14:paraId="0000010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30.5 %</w:t>
            </w:r>
          </w:p>
        </w:tc>
        <w:tc>
          <w:tcPr/>
          <w:p w:rsidR="00000000" w:rsidDel="00000000" w:rsidP="00000000" w:rsidRDefault="00000000" w:rsidRPr="00000000" w14:paraId="000001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20.9 %</w:t>
            </w:r>
          </w:p>
        </w:tc>
        <w:tc>
          <w:tcPr/>
          <w:p w:rsidR="00000000" w:rsidDel="00000000" w:rsidP="00000000" w:rsidRDefault="00000000" w:rsidRPr="00000000" w14:paraId="000001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1.46</w:t>
            </w:r>
          </w:p>
        </w:tc>
        <w:tc>
          <w:tcPr/>
          <w:p w:rsidR="00000000" w:rsidDel="00000000" w:rsidP="00000000" w:rsidRDefault="00000000" w:rsidRPr="00000000" w14:paraId="0000010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0.099</w:t>
            </w:r>
          </w:p>
        </w:tc>
      </w:tr>
      <w:tr>
        <w:trPr>
          <w:cantSplit w:val="1"/>
          <w:tblHeader w:val="0"/>
        </w:trPr>
        <w:tc>
          <w:tcPr/>
          <w:p w:rsidR="00000000" w:rsidDel="00000000" w:rsidP="00000000" w:rsidRDefault="00000000" w:rsidRPr="00000000" w14:paraId="000001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Radiation_Exposure</w:t>
            </w:r>
          </w:p>
        </w:tc>
        <w:tc>
          <w:tcPr/>
          <w:p w:rsidR="00000000" w:rsidDel="00000000" w:rsidP="00000000" w:rsidRDefault="00000000" w:rsidRPr="00000000" w14:paraId="000001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w:t>
            </w:r>
          </w:p>
        </w:tc>
        <w:tc>
          <w:tcPr/>
          <w:p w:rsidR="00000000" w:rsidDel="00000000" w:rsidP="00000000" w:rsidRDefault="00000000" w:rsidRPr="00000000" w14:paraId="000001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21.7 %</w:t>
            </w:r>
          </w:p>
        </w:tc>
        <w:tc>
          <w:tcPr/>
          <w:p w:rsidR="00000000" w:rsidDel="00000000" w:rsidP="00000000" w:rsidRDefault="00000000" w:rsidRPr="00000000" w14:paraId="000001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1.49</w:t>
            </w:r>
          </w:p>
        </w:tc>
        <w:tc>
          <w:tcPr/>
          <w:p w:rsidR="00000000" w:rsidDel="00000000" w:rsidP="00000000" w:rsidRDefault="00000000" w:rsidRPr="00000000" w14:paraId="000001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0.089</w:t>
            </w:r>
          </w:p>
        </w:tc>
      </w:tr>
      <w:tr>
        <w:trPr>
          <w:cantSplit w:val="1"/>
          <w:tblHeader w:val="0"/>
        </w:trPr>
        <w:tc>
          <w:tcPr/>
          <w:p w:rsidR="00000000" w:rsidDel="00000000" w:rsidP="00000000" w:rsidRDefault="00000000" w:rsidRPr="00000000" w14:paraId="000001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Diabetes</w:t>
            </w:r>
          </w:p>
        </w:tc>
        <w:tc>
          <w:tcPr/>
          <w:p w:rsidR="00000000" w:rsidDel="00000000" w:rsidP="00000000" w:rsidRDefault="00000000" w:rsidRPr="00000000" w14:paraId="000001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23.0 %</w:t>
            </w:r>
          </w:p>
        </w:tc>
        <w:tc>
          <w:tcPr/>
          <w:p w:rsidR="00000000" w:rsidDel="00000000" w:rsidP="00000000" w:rsidRDefault="00000000" w:rsidRPr="00000000" w14:paraId="000001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23.3 %</w:t>
            </w:r>
          </w:p>
        </w:tc>
        <w:tc>
          <w:tcPr/>
          <w:p w:rsidR="00000000" w:rsidDel="00000000" w:rsidP="00000000" w:rsidRDefault="00000000" w:rsidRPr="00000000" w14:paraId="000001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0.99</w:t>
            </w:r>
          </w:p>
        </w:tc>
        <w:tc>
          <w:tcPr/>
          <w:p w:rsidR="00000000" w:rsidDel="00000000" w:rsidP="00000000" w:rsidRDefault="00000000" w:rsidRPr="00000000" w14:paraId="0000010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0.003</w:t>
            </w:r>
          </w:p>
        </w:tc>
      </w:tr>
      <w:tr>
        <w:trPr>
          <w:cantSplit w:val="1"/>
          <w:tblHeader w:val="0"/>
        </w:trPr>
        <w:tc>
          <w:tcPr/>
          <w:p w:rsidR="00000000" w:rsidDel="00000000" w:rsidP="00000000" w:rsidRDefault="00000000" w:rsidRPr="00000000" w14:paraId="000001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 (Female vs Male)</w:t>
            </w:r>
          </w:p>
        </w:tc>
        <w:tc>
          <w:tcPr/>
          <w:p w:rsidR="00000000" w:rsidDel="00000000" w:rsidP="00000000" w:rsidRDefault="00000000" w:rsidRPr="00000000" w14:paraId="000001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23.3 %</w:t>
            </w:r>
          </w:p>
        </w:tc>
        <w:tc>
          <w:tcPr/>
          <w:p w:rsidR="00000000" w:rsidDel="00000000" w:rsidP="00000000" w:rsidRDefault="00000000" w:rsidRPr="00000000" w14:paraId="000001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23.2 %</w:t>
            </w:r>
          </w:p>
        </w:tc>
        <w:tc>
          <w:tcPr/>
          <w:p w:rsidR="00000000" w:rsidDel="00000000" w:rsidP="00000000" w:rsidRDefault="00000000" w:rsidRPr="00000000" w14:paraId="000001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w:t>
            </w:r>
          </w:p>
        </w:tc>
        <w:tc>
          <w:tcPr/>
          <w:p w:rsidR="00000000" w:rsidDel="00000000" w:rsidP="00000000" w:rsidRDefault="00000000" w:rsidRPr="00000000" w14:paraId="0000011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0.001</w:t>
            </w:r>
          </w:p>
        </w:tc>
      </w:tr>
      <w:tr>
        <w:trPr>
          <w:cantSplit w:val="1"/>
          <w:tblHeader w:val="0"/>
        </w:trPr>
        <w:tc>
          <w:tcPr/>
          <w:p w:rsidR="00000000" w:rsidDel="00000000" w:rsidP="00000000" w:rsidRDefault="00000000" w:rsidRPr="00000000" w14:paraId="000001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Obesity</w:t>
            </w:r>
          </w:p>
        </w:tc>
        <w:tc>
          <w:tcPr/>
          <w:p w:rsidR="00000000" w:rsidDel="00000000" w:rsidP="00000000" w:rsidRDefault="00000000" w:rsidRPr="00000000" w14:paraId="000001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23.2 %</w:t>
            </w:r>
          </w:p>
        </w:tc>
        <w:tc>
          <w:tcPr/>
          <w:p w:rsidR="00000000" w:rsidDel="00000000" w:rsidP="00000000" w:rsidRDefault="00000000" w:rsidRPr="00000000" w14:paraId="000001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23.3 %</w:t>
            </w:r>
          </w:p>
        </w:tc>
        <w:tc>
          <w:tcPr/>
          <w:p w:rsidR="00000000" w:rsidDel="00000000" w:rsidP="00000000" w:rsidRDefault="00000000" w:rsidRPr="00000000" w14:paraId="000001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p w:rsidR="00000000" w:rsidDel="00000000" w:rsidP="00000000" w:rsidRDefault="00000000" w:rsidRPr="00000000" w14:paraId="000001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0.001</w:t>
            </w:r>
          </w:p>
        </w:tc>
      </w:tr>
      <w:tr>
        <w:trPr>
          <w:cantSplit w:val="1"/>
          <w:tblHeader w:val="0"/>
        </w:trPr>
        <w:tc>
          <w:tcPr/>
          <w:p w:rsidR="00000000" w:rsidDel="00000000" w:rsidP="00000000" w:rsidRDefault="00000000" w:rsidRPr="00000000" w14:paraId="000001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Smoking</w:t>
            </w:r>
          </w:p>
        </w:tc>
        <w:tc>
          <w:tcPr/>
          <w:p w:rsidR="00000000" w:rsidDel="00000000" w:rsidP="00000000" w:rsidRDefault="00000000" w:rsidRPr="00000000" w14:paraId="000001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23.3 %</w:t>
            </w:r>
          </w:p>
        </w:tc>
        <w:tc>
          <w:tcPr/>
          <w:p w:rsidR="00000000" w:rsidDel="00000000" w:rsidP="00000000" w:rsidRDefault="00000000" w:rsidRPr="00000000" w14:paraId="000001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23.3 %</w:t>
            </w:r>
          </w:p>
        </w:tc>
        <w:tc>
          <w:tcPr/>
          <w:p w:rsidR="00000000" w:rsidDel="00000000" w:rsidP="00000000" w:rsidRDefault="00000000" w:rsidRPr="00000000" w14:paraId="000001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p w:rsidR="00000000" w:rsidDel="00000000" w:rsidP="00000000" w:rsidRDefault="00000000" w:rsidRPr="00000000" w14:paraId="000001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0.001</w:t>
            </w:r>
          </w:p>
        </w:tc>
      </w:tr>
    </w:tbl>
    <w:p w:rsidR="00000000" w:rsidDel="00000000" w:rsidP="00000000" w:rsidRDefault="00000000" w:rsidRPr="00000000" w14:paraId="0000011D">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E">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 que muestran los datos:</w:t>
      </w:r>
      <w:r w:rsidDel="00000000" w:rsidR="00000000" w:rsidRPr="00000000">
        <w:rPr>
          <w:rFonts w:ascii="Times New Roman" w:cs="Times New Roman" w:eastAsia="Times New Roman" w:hAnsi="Times New Roman"/>
          <w:rtl w:val="0"/>
        </w:rPr>
        <w:t xml:space="preserve"> solo el antecedente familiar, la exposición a radiación y la deficiencia de yodo elevan la tasa de malignidad (riesgo relativo entre 1.46 y 1.67). Tabaquismo, obesidad, diabetes y sexo presentan tasas iguales a la global.</w:t>
      </w:r>
    </w:p>
    <w:p w:rsidR="00000000" w:rsidDel="00000000" w:rsidP="00000000" w:rsidRDefault="00000000" w:rsidRPr="00000000" w14:paraId="0000011F">
      <w:pPr>
        <w:keepNext w:val="1"/>
        <w:spacing w:after="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40480" cy="3423332"/>
            <wp:effectExtent b="0" l="0" r="0" t="0"/>
            <wp:docPr id="120"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3840480" cy="3423332"/>
                    </a:xfrm>
                    <a:prstGeom prst="rect"/>
                    <a:ln/>
                  </pic:spPr>
                </pic:pic>
              </a:graphicData>
            </a:graphic>
          </wp:inline>
        </w:drawing>
      </w:r>
      <w:r w:rsidDel="00000000" w:rsidR="00000000" w:rsidRPr="00000000">
        <w:rPr>
          <w:rtl w:val="0"/>
        </w:rPr>
      </w:r>
    </w:p>
    <w:p w:rsidR="00000000" w:rsidDel="00000000" w:rsidP="00000000" w:rsidRDefault="00000000" w:rsidRPr="00000000" w14:paraId="00000120">
      <w:pPr>
        <w:spacing w:after="16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Figura 4. Matriz de correlación de Spearman entre variables numéricas y el diagnóstico.</w:t>
      </w:r>
      <w:r w:rsidDel="00000000" w:rsidR="00000000" w:rsidRPr="00000000">
        <w:rPr>
          <w:rtl w:val="0"/>
        </w:rPr>
      </w:r>
    </w:p>
    <w:p w:rsidR="00000000" w:rsidDel="00000000" w:rsidP="00000000" w:rsidRDefault="00000000" w:rsidRPr="00000000" w14:paraId="00000121">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Interpretación del grupo:</w:t>
      </w:r>
      <w:sdt>
        <w:sdtPr>
          <w:id w:val="-1793900226"/>
          <w:tag w:val="goog_rdk_3"/>
        </w:sdtPr>
        <w:sdtContent>
          <w:r w:rsidDel="00000000" w:rsidR="00000000" w:rsidRPr="00000000">
            <w:rPr>
              <w:rFonts w:ascii="Gungsuh" w:cs="Gungsuh" w:eastAsia="Gungsuh" w:hAnsi="Gungsuh"/>
              <w:rtl w:val="0"/>
            </w:rPr>
            <w:t xml:space="preserve"> los tres factores con efecto son factores de riesgo reconocidos en la literatura. Sin embargo, el tamaño del efecto es pequeño (V de Cramér ≤ 0.14). Las correlaciones entre variables numéricas son nulas (incluida TSH–T4, que fisiológicamente deberían relacionarse), por lo que no existe multicolinealidad pero sí una nueva señal de generación independiente de las variables.</w:t>
          </w:r>
        </w:sdtContent>
      </w:sdt>
    </w:p>
    <w:p w:rsidR="00000000" w:rsidDel="00000000" w:rsidP="00000000" w:rsidRDefault="00000000" w:rsidRPr="00000000" w14:paraId="00000122">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3.4 Diferencias entre grupos</w:t>
      </w:r>
      <w:r w:rsidDel="00000000" w:rsidR="00000000" w:rsidRPr="00000000">
        <w:rPr>
          <w:rtl w:val="0"/>
        </w:rPr>
      </w:r>
    </w:p>
    <w:p w:rsidR="00000000" w:rsidDel="00000000" w:rsidP="00000000" w:rsidRDefault="00000000" w:rsidRPr="00000000" w14:paraId="00000123">
      <w:pPr>
        <w:keepNext w:val="1"/>
        <w:spacing w:after="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852160" cy="1934598"/>
            <wp:effectExtent b="0" l="0" r="0" t="0"/>
            <wp:docPr id="11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852160" cy="1934598"/>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after="16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Figura 5. Porcentaje de diagnósticos malignos por país y por etnia.</w:t>
      </w:r>
      <w:r w:rsidDel="00000000" w:rsidR="00000000" w:rsidRPr="00000000">
        <w:rPr>
          <w:rtl w:val="0"/>
        </w:rPr>
      </w:r>
    </w:p>
    <w:p w:rsidR="00000000" w:rsidDel="00000000" w:rsidP="00000000" w:rsidRDefault="00000000" w:rsidRPr="00000000" w14:paraId="00000125">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 que muestran los datos:</w:t>
      </w:r>
      <w:sdt>
        <w:sdtPr>
          <w:id w:val="383689451"/>
          <w:tag w:val="goog_rdk_4"/>
        </w:sdtPr>
        <w:sdtContent>
          <w:r w:rsidDel="00000000" w:rsidR="00000000" w:rsidRPr="00000000">
            <w:rPr>
              <w:rFonts w:ascii="Gungsuh" w:cs="Gungsuh" w:eastAsia="Gungsuh" w:hAnsi="Gungsuh"/>
              <w:rtl w:val="0"/>
            </w:rPr>
            <w:t xml:space="preserve"> India (≈ 33 %) y la etnia Asian (≈ 33.5 %) presentan una proporción de malignos claramente superior; African está levemente por encima (≈ 25.5 %) y el resto de grupos se ubica entre 18 % y 21 %.</w:t>
          </w:r>
        </w:sdtContent>
      </w:sdt>
    </w:p>
    <w:p w:rsidR="00000000" w:rsidDel="00000000" w:rsidP="00000000" w:rsidRDefault="00000000" w:rsidRPr="00000000" w14:paraId="00000126">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Interpretación del grupo:</w:t>
      </w:r>
      <w:r w:rsidDel="00000000" w:rsidR="00000000" w:rsidRPr="00000000">
        <w:rPr>
          <w:rFonts w:ascii="Times New Roman" w:cs="Times New Roman" w:eastAsia="Times New Roman" w:hAnsi="Times New Roman"/>
          <w:rtl w:val="0"/>
        </w:rPr>
        <w:t xml:space="preserve"> es la diferencia entre grupos más marcada del dataset. No obstante, debe leerse con cautela: dado el origen sintético, puede reflejar una regla del generador de datos y no un efecto geográfico o étnico real.</w:t>
      </w:r>
    </w:p>
    <w:p w:rsidR="00000000" w:rsidDel="00000000" w:rsidP="00000000" w:rsidRDefault="00000000" w:rsidRPr="00000000" w14:paraId="00000127">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3.5 Posibles patrones y anomalías</w:t>
      </w:r>
      <w:r w:rsidDel="00000000" w:rsidR="00000000" w:rsidRPr="00000000">
        <w:rPr>
          <w:rtl w:val="0"/>
        </w:rPr>
      </w:r>
    </w:p>
    <w:p w:rsidR="00000000" w:rsidDel="00000000" w:rsidP="00000000" w:rsidRDefault="00000000" w:rsidRPr="00000000" w14:paraId="00000128">
      <w:pPr>
        <w:keepNext w:val="1"/>
        <w:spacing w:after="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206240" cy="2499650"/>
            <wp:effectExtent b="0" l="0" r="0" t="0"/>
            <wp:docPr id="111"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4206240" cy="249965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spacing w:after="16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Figura 6. Diagnóstico según el nivel de riesgo precalculado (Thyroid_Cancer_Risk).</w:t>
      </w:r>
      <w:r w:rsidDel="00000000" w:rsidR="00000000" w:rsidRPr="00000000">
        <w:rPr>
          <w:rtl w:val="0"/>
        </w:rPr>
      </w:r>
    </w:p>
    <w:p w:rsidR="00000000" w:rsidDel="00000000" w:rsidP="00000000" w:rsidRDefault="00000000" w:rsidRPr="00000000" w14:paraId="0000012A">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 que muestran los datos:</w:t>
      </w:r>
      <w:sdt>
        <w:sdtPr>
          <w:id w:val="-498247573"/>
          <w:tag w:val="goog_rdk_5"/>
        </w:sdtPr>
        <w:sdtContent>
          <w:r w:rsidDel="00000000" w:rsidR="00000000" w:rsidRPr="00000000">
            <w:rPr>
              <w:rFonts w:ascii="Gungsuh" w:cs="Gungsuh" w:eastAsia="Gungsuh" w:hAnsi="Gungsuh"/>
              <w:rtl w:val="0"/>
            </w:rPr>
            <w:t xml:space="preserve"> los pacientes con riesgo High tienen 70 % de diagnósticos malignos, mientras que Low y Medium tienen exactamente la misma tasa (≈ 15 %) y el mismo perfil de factores. Los pacientes High concentran los factores con efecto: 63 % tiene antecedente familiar (vs 24 %), 44 % es de India (vs 16 %) y 56 % es de etnia asiática (vs 20 %).</w:t>
          </w:r>
        </w:sdtContent>
      </w:sdt>
    </w:p>
    <w:p w:rsidR="00000000" w:rsidDel="00000000" w:rsidP="00000000" w:rsidRDefault="00000000" w:rsidRPr="00000000" w14:paraId="0000012B">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Interpretación del grupo:</w:t>
      </w:r>
      <w:sdt>
        <w:sdtPr>
          <w:id w:val="225203449"/>
          <w:tag w:val="goog_rdk_6"/>
        </w:sdtPr>
        <w:sdtContent>
          <w:r w:rsidDel="00000000" w:rsidR="00000000" w:rsidRPr="00000000">
            <w:rPr>
              <w:rFonts w:ascii="Cardo" w:cs="Cardo" w:eastAsia="Cardo" w:hAnsi="Cardo"/>
              <w:rtl w:val="0"/>
            </w:rPr>
            <w:t xml:space="preserve"> Thyroid_Cancer_Risk se comporta como un puntaje derivado de los mismos factores y muy cercano al resultado. Como se desconoce cómo y cuándo se calculó, su uso como predictor podría introducir fuga de información; por ello se excluye del modelo y se utiliza como regla baseline del dominio («High ⇒ Malignant»). Además, la categoría Medium no aporta información distinta de Low.</w:t>
          </w:r>
        </w:sdtContent>
      </w:sdt>
    </w:p>
    <w:p w:rsidR="00000000" w:rsidDel="00000000" w:rsidP="00000000" w:rsidRDefault="00000000" w:rsidRPr="00000000" w14:paraId="0000012C">
      <w:pPr>
        <w:keepNext w:val="1"/>
        <w:spacing w:after="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389120" cy="2540124"/>
            <wp:effectExtent b="0" l="0" r="0" t="0"/>
            <wp:docPr id="114"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4389120" cy="2540124"/>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spacing w:after="16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Figura 7. Composición étnica dentro de cada país (porcentaje por fila).</w:t>
      </w:r>
      <w:r w:rsidDel="00000000" w:rsidR="00000000" w:rsidRPr="00000000">
        <w:rPr>
          <w:rtl w:val="0"/>
        </w:rPr>
      </w:r>
    </w:p>
    <w:p w:rsidR="00000000" w:rsidDel="00000000" w:rsidP="00000000" w:rsidRDefault="00000000" w:rsidRPr="00000000" w14:paraId="0000012E">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 que muestran los datos:</w:t>
      </w:r>
      <w:sdt>
        <w:sdtPr>
          <w:id w:val="194545306"/>
          <w:tag w:val="goog_rdk_7"/>
        </w:sdtPr>
        <w:sdtContent>
          <w:r w:rsidDel="00000000" w:rsidR="00000000" w:rsidRPr="00000000">
            <w:rPr>
              <w:rFonts w:ascii="Gungsuh" w:cs="Gungsuh" w:eastAsia="Gungsuh" w:hAnsi="Gungsuh"/>
              <w:rtl w:val="0"/>
            </w:rPr>
            <w:t xml:space="preserve"> la distribución étnica es la misma en todos los países (≈ 30 % Caucasian, 25 % Asian, 20 % African, 15 % Hispanic, 10 % Middle Eastern), incluso en Nigeria o Japón.</w:t>
          </w:r>
        </w:sdtContent>
      </w:sdt>
    </w:p>
    <w:p w:rsidR="00000000" w:rsidDel="00000000" w:rsidP="00000000" w:rsidRDefault="00000000" w:rsidRPr="00000000" w14:paraId="0000012F">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Interpretación del grupo:</w:t>
      </w:r>
      <w:r w:rsidDel="00000000" w:rsidR="00000000" w:rsidRPr="00000000">
        <w:rPr>
          <w:rFonts w:ascii="Times New Roman" w:cs="Times New Roman" w:eastAsia="Times New Roman" w:hAnsi="Times New Roman"/>
          <w:rtl w:val="0"/>
        </w:rPr>
        <w:t xml:space="preserve"> este patrón es imposible en una población real y confirma que el dataset es sintético. Las conclusiones del proyecto serán válidas sobre este conjunto de datos y no deben generalizarse a la práctica clínica.</w:t>
      </w:r>
    </w:p>
    <w:p w:rsidR="00000000" w:rsidDel="00000000" w:rsidP="00000000" w:rsidRDefault="00000000" w:rsidRPr="00000000" w14:paraId="00000130">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3.6 Problemas de calidad que condicionen decisiones posteriores</w:t>
      </w:r>
      <w:r w:rsidDel="00000000" w:rsidR="00000000" w:rsidRPr="00000000">
        <w:rPr>
          <w:rtl w:val="0"/>
        </w:rPr>
      </w:r>
    </w:p>
    <w:p w:rsidR="00000000" w:rsidDel="00000000" w:rsidP="00000000" w:rsidRDefault="00000000" w:rsidRPr="00000000" w14:paraId="00000131">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Thyroid_Cancer_Risk</w:t>
      </w:r>
      <w:r w:rsidDel="00000000" w:rsidR="00000000" w:rsidRPr="00000000">
        <w:rPr>
          <w:rFonts w:ascii="Times New Roman" w:cs="Times New Roman" w:eastAsia="Times New Roman" w:hAnsi="Times New Roman"/>
          <w:rtl w:val="0"/>
        </w:rPr>
        <w:t xml:space="preserve"> es redundante y potencialmente con fuga: se excluye de los predictores.</w:t>
      </w:r>
    </w:p>
    <w:p w:rsidR="00000000" w:rsidDel="00000000" w:rsidP="00000000" w:rsidRDefault="00000000" w:rsidRPr="00000000" w14:paraId="00000132">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Señal concentrada en pocas variables</w:t>
      </w:r>
      <w:r w:rsidDel="00000000" w:rsidR="00000000" w:rsidRPr="00000000">
        <w:rPr>
          <w:rFonts w:ascii="Times New Roman" w:cs="Times New Roman" w:eastAsia="Times New Roman" w:hAnsi="Times New Roman"/>
          <w:rtl w:val="0"/>
        </w:rPr>
        <w:t xml:space="preserve"> (antecedente familiar, radiación, yodo, India / Asian): se espera un techo de desempeño moderado, independientemente del algoritmo.</w:t>
      </w:r>
    </w:p>
    <w:p w:rsidR="00000000" w:rsidDel="00000000" w:rsidP="00000000" w:rsidRDefault="00000000" w:rsidRPr="00000000" w14:paraId="00000133">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Desbalance de clases</w:t>
      </w:r>
      <w:r w:rsidDel="00000000" w:rsidR="00000000" w:rsidRPr="00000000">
        <w:rPr>
          <w:rFonts w:ascii="Times New Roman" w:cs="Times New Roman" w:eastAsia="Times New Roman" w:hAnsi="Times New Roman"/>
          <w:rtl w:val="0"/>
        </w:rPr>
        <w:t xml:space="preserve"> (23.3 % malignos): obliga a estratificar y a usar métricas centradas en la clase positiva.</w:t>
      </w:r>
    </w:p>
    <w:p w:rsidR="00000000" w:rsidDel="00000000" w:rsidP="00000000" w:rsidRDefault="00000000" w:rsidRPr="00000000" w14:paraId="00000134">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Valores hormonales poco plausibles</w:t>
      </w:r>
      <w:r w:rsidDel="00000000" w:rsidR="00000000" w:rsidRPr="00000000">
        <w:rPr>
          <w:rFonts w:ascii="Times New Roman" w:cs="Times New Roman" w:eastAsia="Times New Roman" w:hAnsi="Times New Roman"/>
          <w:rtl w:val="0"/>
        </w:rPr>
        <w:t xml:space="preserve"> en combinación (TSH alta con T4 alta): se documentan como riesgo, pero no se corrigen por falta de criterio clínico y de información sobre unidades.</w:t>
      </w:r>
    </w:p>
    <w:p w:rsidR="00000000" w:rsidDel="00000000" w:rsidP="00000000" w:rsidRDefault="00000000" w:rsidRPr="00000000" w14:paraId="00000135">
      <w:pPr>
        <w:spacing w:after="240" w:before="240" w:lineRule="auto"/>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rtl w:val="0"/>
        </w:rPr>
        <w:t xml:space="preserve">4. Calidad y Preparación de Datos</w:t>
      </w:r>
      <w:r w:rsidDel="00000000" w:rsidR="00000000" w:rsidRPr="00000000">
        <w:rPr>
          <w:rtl w:val="0"/>
        </w:rPr>
      </w:r>
    </w:p>
    <w:p w:rsidR="00000000" w:rsidDel="00000000" w:rsidP="00000000" w:rsidRDefault="00000000" w:rsidRPr="00000000" w14:paraId="00000136">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análisis de calidad se implementó en src/data.py (funciones quality_report y clean) y en la sección 4 del notebook. Para cada aspecto se presenta el hallazgo y la decisión adoptada con su justificación.</w:t>
      </w:r>
    </w:p>
    <w:p w:rsidR="00000000" w:rsidDel="00000000" w:rsidP="00000000" w:rsidRDefault="00000000" w:rsidRPr="00000000" w14:paraId="00000137">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4.1 Valores faltantes</w:t>
      </w:r>
      <w:r w:rsidDel="00000000" w:rsidR="00000000" w:rsidRPr="00000000">
        <w:rPr>
          <w:rtl w:val="0"/>
        </w:rPr>
      </w:r>
    </w:p>
    <w:p w:rsidR="00000000" w:rsidDel="00000000" w:rsidP="00000000" w:rsidRDefault="00000000" w:rsidRPr="00000000" w14:paraId="00000138">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existen valores faltantes en ninguna de las 17 columnas (212 691 valores no nulos por columna). </w:t>
      </w:r>
      <w:r w:rsidDel="00000000" w:rsidR="00000000" w:rsidRPr="00000000">
        <w:rPr>
          <w:rFonts w:ascii="Times New Roman" w:cs="Times New Roman" w:eastAsia="Times New Roman" w:hAnsi="Times New Roman"/>
          <w:b w:val="1"/>
          <w:bCs w:val="1"/>
          <w:rtl w:val="0"/>
        </w:rPr>
        <w:t xml:space="preserve">Decisión:</w:t>
      </w:r>
      <w:r w:rsidDel="00000000" w:rsidR="00000000" w:rsidRPr="00000000">
        <w:rPr>
          <w:rFonts w:ascii="Times New Roman" w:cs="Times New Roman" w:eastAsia="Times New Roman" w:hAnsi="Times New Roman"/>
          <w:rtl w:val="0"/>
        </w:rPr>
        <w:t xml:space="preserve"> no se imputa ni se elimina ningún registro. Aun así, el Pipeline incluye SimpleImputer (mediana para numéricas y moda para categóricas) para que el flujo sea robusto si en el uso real llegan datos incompletos; al estar dentro del Pipeline, sus parámetros se aprenden solo con train.</w:t>
      </w:r>
    </w:p>
    <w:p w:rsidR="00000000" w:rsidDel="00000000" w:rsidP="00000000" w:rsidRDefault="00000000" w:rsidRPr="00000000" w14:paraId="00000139">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4.2 Duplicados</w:t>
      </w:r>
      <w:r w:rsidDel="00000000" w:rsidR="00000000" w:rsidRPr="00000000">
        <w:rPr>
          <w:rtl w:val="0"/>
        </w:rPr>
      </w:r>
    </w:p>
    <w:p w:rsidR="00000000" w:rsidDel="00000000" w:rsidP="00000000" w:rsidRDefault="00000000" w:rsidRPr="00000000" w14:paraId="0000013A">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verificaron filas duplicadas sin considerar el identificador (0 casos) y valores repetidos de Patient_ID (0 casos). </w:t>
      </w:r>
      <w:r w:rsidDel="00000000" w:rsidR="00000000" w:rsidRPr="00000000">
        <w:rPr>
          <w:rFonts w:ascii="Times New Roman" w:cs="Times New Roman" w:eastAsia="Times New Roman" w:hAnsi="Times New Roman"/>
          <w:b w:val="1"/>
          <w:bCs w:val="1"/>
          <w:rtl w:val="0"/>
        </w:rPr>
        <w:t xml:space="preserve">Decisión:</w:t>
      </w:r>
      <w:r w:rsidDel="00000000" w:rsidR="00000000" w:rsidRPr="00000000">
        <w:rPr>
          <w:rFonts w:ascii="Times New Roman" w:cs="Times New Roman" w:eastAsia="Times New Roman" w:hAnsi="Times New Roman"/>
          <w:rtl w:val="0"/>
        </w:rPr>
        <w:t xml:space="preserve"> no se elimina ningún registro; cada fila corresponde a un paciente distinto, lo que además permite una separación aleatoria sin riesgo de que un mismo paciente aparezca en train y en test.</w:t>
      </w:r>
    </w:p>
    <w:p w:rsidR="00000000" w:rsidDel="00000000" w:rsidP="00000000" w:rsidRDefault="00000000" w:rsidRPr="00000000" w14:paraId="0000013B">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4.3 Tipos de datos</w:t>
      </w:r>
      <w:r w:rsidDel="00000000" w:rsidR="00000000" w:rsidRPr="00000000">
        <w:rPr>
          <w:rtl w:val="0"/>
        </w:rPr>
      </w:r>
    </w:p>
    <w:p w:rsidR="00000000" w:rsidDel="00000000" w:rsidP="00000000" w:rsidRDefault="00000000" w:rsidRPr="00000000" w14:paraId="0000013C">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 es entera; TSH_Level, T3_Level, T4_Level y Nodule_Size son decimales; las 11 restantes son texto (9 predictoras categóricas, Thyroid_Cancer_Risk y Diagnosis). Todos los tipos son coherentes con su contenido. </w:t>
      </w:r>
      <w:r w:rsidDel="00000000" w:rsidR="00000000" w:rsidRPr="00000000">
        <w:rPr>
          <w:rFonts w:ascii="Times New Roman" w:cs="Times New Roman" w:eastAsia="Times New Roman" w:hAnsi="Times New Roman"/>
          <w:b w:val="1"/>
          <w:bCs w:val="1"/>
          <w:rtl w:val="0"/>
        </w:rPr>
        <w:t xml:space="preserve">Decisión:</w:t>
      </w:r>
      <w:r w:rsidDel="00000000" w:rsidR="00000000" w:rsidRPr="00000000">
        <w:rPr>
          <w:rFonts w:ascii="Times New Roman" w:cs="Times New Roman" w:eastAsia="Times New Roman" w:hAnsi="Times New Roman"/>
          <w:rtl w:val="0"/>
        </w:rPr>
        <w:t xml:space="preserve"> las numéricas se mantienen como tales y las categóricas se codifican con One-Hot dentro del Pipeline; Diagnosis se convierte a 0/1 (Malignant = 1).</w:t>
      </w:r>
    </w:p>
    <w:p w:rsidR="00000000" w:rsidDel="00000000" w:rsidP="00000000" w:rsidRDefault="00000000" w:rsidRPr="00000000" w14:paraId="0000013D">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4.4 Categorías inconsistentes</w:t>
      </w:r>
      <w:r w:rsidDel="00000000" w:rsidR="00000000" w:rsidRPr="00000000">
        <w:rPr>
          <w:rtl w:val="0"/>
        </w:rPr>
      </w:r>
    </w:p>
    <w:p w:rsidR="00000000" w:rsidDel="00000000" w:rsidP="00000000" w:rsidRDefault="00000000" w:rsidRPr="00000000" w14:paraId="0000013E">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revisaron los valores únicos de cada variable categórica y se comprobó que no existen variantes por mayúsculas, espacios o errores de escritura (al normalizar el texto, ninguna categoría colapsa con otra). </w:t>
      </w:r>
      <w:r w:rsidDel="00000000" w:rsidR="00000000" w:rsidRPr="00000000">
        <w:rPr>
          <w:rFonts w:ascii="Times New Roman" w:cs="Times New Roman" w:eastAsia="Times New Roman" w:hAnsi="Times New Roman"/>
          <w:b w:val="1"/>
          <w:bCs w:val="1"/>
          <w:rtl w:val="0"/>
        </w:rPr>
        <w:t xml:space="preserve">Decisión:</w:t>
      </w:r>
      <w:r w:rsidDel="00000000" w:rsidR="00000000" w:rsidRPr="00000000">
        <w:rPr>
          <w:rFonts w:ascii="Times New Roman" w:cs="Times New Roman" w:eastAsia="Times New Roman" w:hAnsi="Times New Roman"/>
          <w:rtl w:val="0"/>
        </w:rPr>
        <w:t xml:space="preserve"> únicamente se eliminan espacios sobrantes como medida preventiva; no se cambian mayúsculas para no alterar valores como UK o USA.</w:t>
      </w:r>
    </w:p>
    <w:p w:rsidR="00000000" w:rsidDel="00000000" w:rsidP="00000000" w:rsidRDefault="00000000" w:rsidRPr="00000000" w14:paraId="0000013F">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4.5 Outliers o valores extremos</w:t>
      </w:r>
      <w:r w:rsidDel="00000000" w:rsidR="00000000" w:rsidRPr="00000000">
        <w:rPr>
          <w:rtl w:val="0"/>
        </w:rPr>
      </w:r>
    </w:p>
    <w:tbl>
      <w:tblPr>
        <w:tblStyle w:val="Table5"/>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60"/>
        <w:gridCol w:w="1860"/>
        <w:gridCol w:w="1860"/>
        <w:gridCol w:w="1860"/>
        <w:gridCol w:w="1860"/>
        <w:tblGridChange w:id="0">
          <w:tblGrid>
            <w:gridCol w:w="1860"/>
            <w:gridCol w:w="1860"/>
            <w:gridCol w:w="1860"/>
            <w:gridCol w:w="1860"/>
            <w:gridCol w:w="1860"/>
          </w:tblGrid>
        </w:tblGridChange>
      </w:tblGrid>
      <w:tr>
        <w:trPr>
          <w:cantSplit w:val="1"/>
          <w:tblHeader w:val="1"/>
        </w:trPr>
        <w:tc>
          <w:tcPr>
            <w:shd w:fill="1f3864" w:val="clear"/>
          </w:tcPr>
          <w:p w:rsidR="00000000" w:rsidDel="00000000" w:rsidP="00000000" w:rsidRDefault="00000000" w:rsidRPr="00000000" w14:paraId="000001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Variable</w:t>
            </w:r>
            <w:r w:rsidDel="00000000" w:rsidR="00000000" w:rsidRPr="00000000">
              <w:rPr>
                <w:rtl w:val="0"/>
              </w:rPr>
            </w:r>
          </w:p>
        </w:tc>
        <w:tc>
          <w:tcPr>
            <w:shd w:fill="1f3864" w:val="clear"/>
          </w:tcPr>
          <w:p w:rsidR="00000000" w:rsidDel="00000000" w:rsidP="00000000" w:rsidRDefault="00000000" w:rsidRPr="00000000" w14:paraId="000001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Mínimo</w:t>
            </w:r>
            <w:r w:rsidDel="00000000" w:rsidR="00000000" w:rsidRPr="00000000">
              <w:rPr>
                <w:rtl w:val="0"/>
              </w:rPr>
            </w:r>
          </w:p>
        </w:tc>
        <w:tc>
          <w:tcPr>
            <w:shd w:fill="1f3864" w:val="clear"/>
          </w:tcPr>
          <w:p w:rsidR="00000000" w:rsidDel="00000000" w:rsidP="00000000" w:rsidRDefault="00000000" w:rsidRPr="00000000" w14:paraId="000001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Máximo</w:t>
            </w:r>
            <w:r w:rsidDel="00000000" w:rsidR="00000000" w:rsidRPr="00000000">
              <w:rPr>
                <w:rtl w:val="0"/>
              </w:rPr>
            </w:r>
          </w:p>
        </w:tc>
        <w:tc>
          <w:tcPr>
            <w:shd w:fill="1f3864" w:val="clear"/>
          </w:tcPr>
          <w:p w:rsidR="00000000" w:rsidDel="00000000" w:rsidP="00000000" w:rsidRDefault="00000000" w:rsidRPr="00000000" w14:paraId="000001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Outliers (IQR)</w:t>
            </w:r>
            <w:r w:rsidDel="00000000" w:rsidR="00000000" w:rsidRPr="00000000">
              <w:rPr>
                <w:rtl w:val="0"/>
              </w:rPr>
            </w:r>
          </w:p>
        </w:tc>
        <w:tc>
          <w:tcPr>
            <w:shd w:fill="1f3864" w:val="clear"/>
          </w:tcPr>
          <w:p w:rsidR="00000000" w:rsidDel="00000000" w:rsidP="00000000" w:rsidRDefault="00000000" w:rsidRPr="00000000" w14:paraId="000001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Fuera de rango válido</w:t>
            </w:r>
            <w:r w:rsidDel="00000000" w:rsidR="00000000" w:rsidRPr="00000000">
              <w:rPr>
                <w:rtl w:val="0"/>
              </w:rPr>
            </w:r>
          </w:p>
        </w:tc>
      </w:tr>
      <w:tr>
        <w:trPr>
          <w:cantSplit w:val="1"/>
          <w:tblHeader w:val="0"/>
        </w:trPr>
        <w:tc>
          <w:tcPr/>
          <w:p w:rsidR="00000000" w:rsidDel="00000000" w:rsidP="00000000" w:rsidRDefault="00000000" w:rsidRPr="00000000" w14:paraId="000001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w:t>
            </w:r>
          </w:p>
        </w:tc>
        <w:tc>
          <w:tcPr/>
          <w:p w:rsidR="00000000" w:rsidDel="00000000" w:rsidP="00000000" w:rsidRDefault="00000000" w:rsidRPr="00000000" w14:paraId="000001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p w:rsidR="00000000" w:rsidDel="00000000" w:rsidP="00000000" w:rsidRDefault="00000000" w:rsidRPr="00000000" w14:paraId="0000014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w:t>
            </w:r>
          </w:p>
        </w:tc>
        <w:tc>
          <w:tcPr/>
          <w:p w:rsidR="00000000" w:rsidDel="00000000" w:rsidP="00000000" w:rsidRDefault="00000000" w:rsidRPr="00000000" w14:paraId="000001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p w:rsidR="00000000" w:rsidDel="00000000" w:rsidP="00000000" w:rsidRDefault="00000000" w:rsidRPr="00000000" w14:paraId="000001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1"/>
          <w:tblHeader w:val="0"/>
        </w:trPr>
        <w:tc>
          <w:tcPr/>
          <w:p w:rsidR="00000000" w:rsidDel="00000000" w:rsidP="00000000" w:rsidRDefault="00000000" w:rsidRPr="00000000" w14:paraId="000001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TSH_Level</w:t>
            </w:r>
          </w:p>
        </w:tc>
        <w:tc>
          <w:tcPr/>
          <w:p w:rsidR="00000000" w:rsidDel="00000000" w:rsidP="00000000" w:rsidRDefault="00000000" w:rsidRPr="00000000" w14:paraId="000001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p w:rsidR="00000000" w:rsidDel="00000000" w:rsidP="00000000" w:rsidRDefault="00000000" w:rsidRPr="00000000" w14:paraId="0000014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tc>
        <w:tc>
          <w:tcPr/>
          <w:p w:rsidR="00000000" w:rsidDel="00000000" w:rsidP="00000000" w:rsidRDefault="00000000" w:rsidRPr="00000000" w14:paraId="0000014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p w:rsidR="00000000" w:rsidDel="00000000" w:rsidP="00000000" w:rsidRDefault="00000000" w:rsidRPr="00000000" w14:paraId="0000014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1"/>
          <w:tblHeader w:val="0"/>
        </w:trPr>
        <w:tc>
          <w:tcPr/>
          <w:p w:rsidR="00000000" w:rsidDel="00000000" w:rsidP="00000000" w:rsidRDefault="00000000" w:rsidRPr="00000000" w14:paraId="0000014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T3_Level</w:t>
            </w:r>
          </w:p>
        </w:tc>
        <w:tc>
          <w:tcPr/>
          <w:p w:rsidR="00000000" w:rsidDel="00000000" w:rsidP="00000000" w:rsidRDefault="00000000" w:rsidRPr="00000000" w14:paraId="0000015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p w:rsidR="00000000" w:rsidDel="00000000" w:rsidP="00000000" w:rsidRDefault="00000000" w:rsidRPr="00000000" w14:paraId="0000015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p w:rsidR="00000000" w:rsidDel="00000000" w:rsidP="00000000" w:rsidRDefault="00000000" w:rsidRPr="00000000" w14:paraId="0000015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p w:rsidR="00000000" w:rsidDel="00000000" w:rsidP="00000000" w:rsidRDefault="00000000" w:rsidRPr="00000000" w14:paraId="0000015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1"/>
          <w:tblHeader w:val="0"/>
        </w:trPr>
        <w:tc>
          <w:tcPr/>
          <w:p w:rsidR="00000000" w:rsidDel="00000000" w:rsidP="00000000" w:rsidRDefault="00000000" w:rsidRPr="00000000" w14:paraId="0000015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T4_Level</w:t>
            </w:r>
          </w:p>
        </w:tc>
        <w:tc>
          <w:tcPr/>
          <w:p w:rsidR="00000000" w:rsidDel="00000000" w:rsidP="00000000" w:rsidRDefault="00000000" w:rsidRPr="00000000" w14:paraId="0000015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p w:rsidR="00000000" w:rsidDel="00000000" w:rsidP="00000000" w:rsidRDefault="00000000" w:rsidRPr="00000000" w14:paraId="0000015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tc>
        <w:tc>
          <w:tcPr/>
          <w:p w:rsidR="00000000" w:rsidDel="00000000" w:rsidP="00000000" w:rsidRDefault="00000000" w:rsidRPr="00000000" w14:paraId="0000015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p w:rsidR="00000000" w:rsidDel="00000000" w:rsidP="00000000" w:rsidRDefault="00000000" w:rsidRPr="00000000" w14:paraId="0000015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1"/>
          <w:tblHeader w:val="0"/>
        </w:trPr>
        <w:tc>
          <w:tcPr/>
          <w:p w:rsidR="00000000" w:rsidDel="00000000" w:rsidP="00000000" w:rsidRDefault="00000000" w:rsidRPr="00000000" w14:paraId="0000015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Nodule_Size</w:t>
            </w:r>
          </w:p>
        </w:tc>
        <w:tc>
          <w:tcPr/>
          <w:p w:rsidR="00000000" w:rsidDel="00000000" w:rsidP="00000000" w:rsidRDefault="00000000" w:rsidRPr="00000000" w14:paraId="0000015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w:t>
            </w:r>
          </w:p>
        </w:tc>
        <w:tc>
          <w:tcPr/>
          <w:p w:rsidR="00000000" w:rsidDel="00000000" w:rsidP="00000000" w:rsidRDefault="00000000" w:rsidRPr="00000000" w14:paraId="0000015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p w:rsidR="00000000" w:rsidDel="00000000" w:rsidP="00000000" w:rsidRDefault="00000000" w:rsidRPr="00000000" w14:paraId="0000015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p w:rsidR="00000000" w:rsidDel="00000000" w:rsidP="00000000" w:rsidRDefault="00000000" w:rsidRPr="00000000" w14:paraId="0000015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bl>
    <w:p w:rsidR="00000000" w:rsidDel="00000000" w:rsidP="00000000" w:rsidRDefault="00000000" w:rsidRPr="00000000" w14:paraId="0000015E">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F">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tener distribuciones uniformes con límites definidos, la regla del rango intercuartílico no detecta valores atípicos y todos los valores caen en rangos válidos. </w:t>
      </w:r>
      <w:r w:rsidDel="00000000" w:rsidR="00000000" w:rsidRPr="00000000">
        <w:rPr>
          <w:rFonts w:ascii="Times New Roman" w:cs="Times New Roman" w:eastAsia="Times New Roman" w:hAnsi="Times New Roman"/>
          <w:b w:val="1"/>
          <w:bCs w:val="1"/>
          <w:rtl w:val="0"/>
        </w:rPr>
        <w:t xml:space="preserve">Decisión:</w:t>
      </w:r>
      <w:r w:rsidDel="00000000" w:rsidR="00000000" w:rsidRPr="00000000">
        <w:rPr>
          <w:rFonts w:ascii="Times New Roman" w:cs="Times New Roman" w:eastAsia="Times New Roman" w:hAnsi="Times New Roman"/>
          <w:rtl w:val="0"/>
        </w:rPr>
        <w:t xml:space="preserve"> no se eliminan ni recortan valores, porque son plausibles y eliminarlos solo reduciría información sin justificación.</w:t>
      </w:r>
    </w:p>
    <w:p w:rsidR="00000000" w:rsidDel="00000000" w:rsidP="00000000" w:rsidRDefault="00000000" w:rsidRPr="00000000" w14:paraId="00000160">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4.6 Reglas lógicas o de negocio</w:t>
      </w:r>
      <w:r w:rsidDel="00000000" w:rsidR="00000000" w:rsidRPr="00000000">
        <w:rPr>
          <w:rtl w:val="0"/>
        </w:rPr>
      </w:r>
    </w:p>
    <w:tbl>
      <w:tblPr>
        <w:tblStyle w:val="Table6"/>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6565"/>
        <w:gridCol w:w="1641"/>
        <w:gridCol w:w="1094"/>
        <w:tblGridChange w:id="0">
          <w:tblGrid>
            <w:gridCol w:w="6565"/>
            <w:gridCol w:w="1641"/>
            <w:gridCol w:w="1094"/>
          </w:tblGrid>
        </w:tblGridChange>
      </w:tblGrid>
      <w:tr>
        <w:trPr>
          <w:cantSplit w:val="1"/>
          <w:tblHeader w:val="1"/>
        </w:trPr>
        <w:tc>
          <w:tcPr>
            <w:shd w:fill="1f3864" w:val="clear"/>
          </w:tcPr>
          <w:p w:rsidR="00000000" w:rsidDel="00000000" w:rsidP="00000000" w:rsidRDefault="00000000" w:rsidRPr="00000000" w14:paraId="0000016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Regla verificada</w:t>
            </w:r>
            <w:r w:rsidDel="00000000" w:rsidR="00000000" w:rsidRPr="00000000">
              <w:rPr>
                <w:rtl w:val="0"/>
              </w:rPr>
            </w:r>
          </w:p>
        </w:tc>
        <w:tc>
          <w:tcPr>
            <w:shd w:fill="1f3864" w:val="clear"/>
          </w:tcPr>
          <w:p w:rsidR="00000000" w:rsidDel="00000000" w:rsidP="00000000" w:rsidRDefault="00000000" w:rsidRPr="00000000" w14:paraId="0000016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Registros</w:t>
            </w:r>
            <w:r w:rsidDel="00000000" w:rsidR="00000000" w:rsidRPr="00000000">
              <w:rPr>
                <w:rtl w:val="0"/>
              </w:rPr>
            </w:r>
          </w:p>
        </w:tc>
        <w:tc>
          <w:tcPr>
            <w:shd w:fill="1f3864" w:val="clear"/>
          </w:tcPr>
          <w:p w:rsidR="00000000" w:rsidDel="00000000" w:rsidP="00000000" w:rsidRDefault="00000000" w:rsidRPr="00000000" w14:paraId="0000016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w:t>
            </w:r>
            <w:r w:rsidDel="00000000" w:rsidR="00000000" w:rsidRPr="00000000">
              <w:rPr>
                <w:rtl w:val="0"/>
              </w:rPr>
            </w:r>
          </w:p>
        </w:tc>
      </w:tr>
      <w:tr>
        <w:trPr>
          <w:cantSplit w:val="1"/>
          <w:tblHeader w:val="0"/>
        </w:trPr>
        <w:tc>
          <w:tcPr/>
          <w:p w:rsidR="00000000" w:rsidDel="00000000" w:rsidP="00000000" w:rsidRDefault="00000000" w:rsidRPr="00000000" w14:paraId="0000016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TSH fuera del rango de referencia (0.4–4.5 mIU/L)</w:t>
            </w:r>
          </w:p>
        </w:tc>
        <w:tc>
          <w:tcPr/>
          <w:p w:rsidR="00000000" w:rsidDel="00000000" w:rsidP="00000000" w:rsidRDefault="00000000" w:rsidRPr="00000000" w14:paraId="0000016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124 472</w:t>
            </w:r>
          </w:p>
        </w:tc>
        <w:tc>
          <w:tcPr/>
          <w:p w:rsidR="00000000" w:rsidDel="00000000" w:rsidP="00000000" w:rsidRDefault="00000000" w:rsidRPr="00000000" w14:paraId="000001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58.5 %</w:t>
            </w:r>
          </w:p>
        </w:tc>
      </w:tr>
      <w:tr>
        <w:trPr>
          <w:cantSplit w:val="1"/>
          <w:tblHeader w:val="0"/>
        </w:trPr>
        <w:tc>
          <w:tcPr/>
          <w:p w:rsidR="00000000" w:rsidDel="00000000" w:rsidP="00000000" w:rsidRDefault="00000000" w:rsidRPr="00000000" w14:paraId="000001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TSH alta (&gt; 4.5) y T4 alta (&gt; 11) simultáneamente</w:t>
            </w:r>
          </w:p>
        </w:tc>
        <w:tc>
          <w:tcPr/>
          <w:p w:rsidR="00000000" w:rsidDel="00000000" w:rsidP="00000000" w:rsidRDefault="00000000" w:rsidRPr="00000000" w14:paraId="000001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15 609</w:t>
            </w:r>
          </w:p>
        </w:tc>
        <w:tc>
          <w:tcPr/>
          <w:p w:rsidR="00000000" w:rsidDel="00000000" w:rsidP="00000000" w:rsidRDefault="00000000" w:rsidRPr="00000000" w14:paraId="000001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7.3 %</w:t>
            </w:r>
          </w:p>
        </w:tc>
      </w:tr>
      <w:tr>
        <w:trPr>
          <w:cantSplit w:val="1"/>
          <w:tblHeader w:val="0"/>
        </w:trPr>
        <w:tc>
          <w:tcPr/>
          <w:p w:rsidR="00000000" w:rsidDel="00000000" w:rsidP="00000000" w:rsidRDefault="00000000" w:rsidRPr="00000000" w14:paraId="000001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Edad menor de 18 años</w:t>
            </w:r>
          </w:p>
        </w:tc>
        <w:tc>
          <w:tcPr/>
          <w:p w:rsidR="00000000" w:rsidDel="00000000" w:rsidP="00000000" w:rsidRDefault="00000000" w:rsidRPr="00000000" w14:paraId="000001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8 571</w:t>
            </w:r>
          </w:p>
        </w:tc>
        <w:tc>
          <w:tcPr/>
          <w:p w:rsidR="00000000" w:rsidDel="00000000" w:rsidP="00000000" w:rsidRDefault="00000000" w:rsidRPr="00000000" w14:paraId="000001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4.0 %</w:t>
            </w:r>
          </w:p>
        </w:tc>
      </w:tr>
      <w:tr>
        <w:trPr>
          <w:cantSplit w:val="1"/>
          <w:tblHeader w:val="0"/>
        </w:trPr>
        <w:tc>
          <w:tcPr/>
          <w:p w:rsidR="00000000" w:rsidDel="00000000" w:rsidP="00000000" w:rsidRDefault="00000000" w:rsidRPr="00000000" w14:paraId="000001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Nodule_Size = 0 (sin nódulo medible)</w:t>
            </w:r>
          </w:p>
        </w:tc>
        <w:tc>
          <w:tcPr/>
          <w:p w:rsidR="00000000" w:rsidDel="00000000" w:rsidP="00000000" w:rsidRDefault="00000000" w:rsidRPr="00000000" w14:paraId="000001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w:t>
            </w:r>
          </w:p>
        </w:tc>
        <w:tc>
          <w:tcPr/>
          <w:p w:rsidR="00000000" w:rsidDel="00000000" w:rsidP="00000000" w:rsidRDefault="00000000" w:rsidRPr="00000000" w14:paraId="0000016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0.1 %</w:t>
            </w:r>
          </w:p>
        </w:tc>
      </w:tr>
    </w:tbl>
    <w:p w:rsidR="00000000" w:rsidDel="00000000" w:rsidP="00000000" w:rsidRDefault="00000000" w:rsidRPr="00000000" w14:paraId="00000170">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1">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Más de la mitad de los pacientes tiene TSH fuera del rango de referencia y un 7.3 % presenta TSH y T4 altas a la vez, combinación fisiológicamente poco habitual. </w:t>
      </w:r>
      <w:r w:rsidDel="00000000" w:rsidR="00000000" w:rsidRPr="00000000">
        <w:rPr>
          <w:rFonts w:ascii="Times New Roman" w:cs="Times New Roman" w:eastAsia="Times New Roman" w:hAnsi="Times New Roman"/>
          <w:b w:val="1"/>
          <w:bCs w:val="1"/>
          <w:rtl w:val="0"/>
        </w:rPr>
        <w:t xml:space="preserve">Decisión:</w:t>
      </w:r>
      <w:r w:rsidDel="00000000" w:rsidR="00000000" w:rsidRPr="00000000">
        <w:rPr>
          <w:rFonts w:ascii="Times New Roman" w:cs="Times New Roman" w:eastAsia="Times New Roman" w:hAnsi="Times New Roman"/>
          <w:rtl w:val="0"/>
        </w:rPr>
        <w:t xml:space="preserve"> se documentan como riesgo para la validez del análisis, pero no se corrigen ni eliminan, porque el grupo no cuenta con criterio clínico ni con información sobre las unidades de laboratorio para afirmar que son errores. Los menores de edad y los nódulos de tamaño 0 se conservan por ser casos posibles.</w:t>
      </w:r>
    </w:p>
    <w:p w:rsidR="00000000" w:rsidDel="00000000" w:rsidP="00000000" w:rsidRDefault="00000000" w:rsidRPr="00000000" w14:paraId="00000172">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4.7 Transformaciones realizadas</w:t>
      </w:r>
      <w:r w:rsidDel="00000000" w:rsidR="00000000" w:rsidRPr="00000000">
        <w:rPr>
          <w:rtl w:val="0"/>
        </w:rPr>
      </w:r>
    </w:p>
    <w:p w:rsidR="00000000" w:rsidDel="00000000" w:rsidP="00000000" w:rsidRDefault="00000000" w:rsidRPr="00000000" w14:paraId="00000173">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Exclusión de variables:</w:t>
      </w:r>
      <w:r w:rsidDel="00000000" w:rsidR="00000000" w:rsidRPr="00000000">
        <w:rPr>
          <w:rFonts w:ascii="Times New Roman" w:cs="Times New Roman" w:eastAsia="Times New Roman" w:hAnsi="Times New Roman"/>
          <w:rtl w:val="0"/>
        </w:rPr>
        <w:t xml:space="preserve"> Patient_ID (identificador sin información) y Thyroid_Cancer_Risk (puntaje con posible fuga de información, sección 3.5).</w:t>
      </w:r>
    </w:p>
    <w:p w:rsidR="00000000" w:rsidDel="00000000" w:rsidP="00000000" w:rsidRDefault="00000000" w:rsidRPr="00000000" w14:paraId="00000174">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Limpieza determinista</w:t>
      </w:r>
      <w:r w:rsidDel="00000000" w:rsidR="00000000" w:rsidRPr="00000000">
        <w:rPr>
          <w:rFonts w:ascii="Times New Roman" w:cs="Times New Roman" w:eastAsia="Times New Roman" w:hAnsi="Times New Roman"/>
          <w:rtl w:val="0"/>
        </w:rPr>
        <w:t xml:space="preserve"> (antes del split, sin parámetros aprendidos): eliminación de espacios, verificación de duplicados y de rangos válidos. Al no aprender nada de los datos, no genera fuga.</w:t>
      </w:r>
    </w:p>
    <w:p w:rsidR="00000000" w:rsidDel="00000000" w:rsidP="00000000" w:rsidRDefault="00000000" w:rsidRPr="00000000" w14:paraId="00000175">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Variables numéricas:</w:t>
      </w:r>
      <w:r w:rsidDel="00000000" w:rsidR="00000000" w:rsidRPr="00000000">
        <w:rPr>
          <w:rFonts w:ascii="Times New Roman" w:cs="Times New Roman" w:eastAsia="Times New Roman" w:hAnsi="Times New Roman"/>
          <w:rtl w:val="0"/>
        </w:rPr>
        <w:t xml:space="preserve"> imputación por mediana y estandarización (StandardScaler) solo para la Regresión Logística, que es sensible a la escala. Los modelos de árboles reciben las numéricas sin escalar.</w:t>
      </w:r>
    </w:p>
    <w:p w:rsidR="00000000" w:rsidDel="00000000" w:rsidP="00000000" w:rsidRDefault="00000000" w:rsidRPr="00000000" w14:paraId="00000176">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Variables categóricas:</w:t>
      </w:r>
      <w:r w:rsidDel="00000000" w:rsidR="00000000" w:rsidRPr="00000000">
        <w:rPr>
          <w:rFonts w:ascii="Times New Roman" w:cs="Times New Roman" w:eastAsia="Times New Roman" w:hAnsi="Times New Roman"/>
          <w:rtl w:val="0"/>
        </w:rPr>
        <w:t xml:space="preserve"> imputación por moda y One-Hot Encoding con drop='if_binary' (las binarias generan una sola columna) y handle_unknown='ignore' (robustez ante categorías nuevas). Resultado: 27 variables transformadas.</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rtl w:val="0"/>
        </w:rPr>
        <w:t xml:space="preserve">5. Separación de Datos</w:t>
      </w:r>
      <w:r w:rsidDel="00000000" w:rsidR="00000000" w:rsidRPr="00000000">
        <w:rPr>
          <w:rtl w:val="0"/>
        </w:rPr>
      </w:r>
    </w:p>
    <w:p w:rsidR="00000000" w:rsidDel="00000000" w:rsidP="00000000" w:rsidRDefault="00000000" w:rsidRPr="00000000" w14:paraId="00000178">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5.1 Estrategia de separación</w:t>
      </w:r>
      <w:r w:rsidDel="00000000" w:rsidR="00000000" w:rsidRPr="00000000">
        <w:rPr>
          <w:rtl w:val="0"/>
        </w:rPr>
      </w:r>
    </w:p>
    <w:p w:rsidR="00000000" w:rsidDel="00000000" w:rsidP="00000000" w:rsidRDefault="00000000" w:rsidRPr="00000000" w14:paraId="00000179">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aplicó un </w:t>
      </w:r>
      <w:r w:rsidDel="00000000" w:rsidR="00000000" w:rsidRPr="00000000">
        <w:rPr>
          <w:rFonts w:ascii="Times New Roman" w:cs="Times New Roman" w:eastAsia="Times New Roman" w:hAnsi="Times New Roman"/>
          <w:b w:val="1"/>
          <w:bCs w:val="1"/>
          <w:rtl w:val="0"/>
        </w:rPr>
        <w:t xml:space="preserve">hold-out estratificado en tres partes</w:t>
      </w:r>
      <w:r w:rsidDel="00000000" w:rsidR="00000000" w:rsidRPr="00000000">
        <w:rPr>
          <w:rFonts w:ascii="Times New Roman" w:cs="Times New Roman" w:eastAsia="Times New Roman" w:hAnsi="Times New Roman"/>
          <w:rtl w:val="0"/>
        </w:rPr>
        <w:t xml:space="preserve"> (train / validation / test) con semilla fija (random_state = 42), complementado con </w:t>
      </w:r>
      <w:r w:rsidDel="00000000" w:rsidR="00000000" w:rsidRPr="00000000">
        <w:rPr>
          <w:rFonts w:ascii="Times New Roman" w:cs="Times New Roman" w:eastAsia="Times New Roman" w:hAnsi="Times New Roman"/>
          <w:b w:val="1"/>
          <w:bCs w:val="1"/>
          <w:rtl w:val="0"/>
        </w:rPr>
        <w:t xml:space="preserve">validación cruzada estratificada de 5 folds</w:t>
      </w:r>
      <w:r w:rsidDel="00000000" w:rsidR="00000000" w:rsidRPr="00000000">
        <w:rPr>
          <w:rFonts w:ascii="Times New Roman" w:cs="Times New Roman" w:eastAsia="Times New Roman" w:hAnsi="Times New Roman"/>
          <w:rtl w:val="0"/>
        </w:rPr>
        <w:t xml:space="preserve"> sobre el conjunto de entrenamiento para medir la estabilidad de los modelos.</w:t>
      </w:r>
    </w:p>
    <w:p w:rsidR="00000000" w:rsidDel="00000000" w:rsidP="00000000" w:rsidRDefault="00000000" w:rsidRPr="00000000" w14:paraId="0000017A">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5.2 Proporciones utilizadas</w:t>
      </w:r>
      <w:r w:rsidDel="00000000" w:rsidR="00000000" w:rsidRPr="00000000">
        <w:rPr>
          <w:rtl w:val="0"/>
        </w:rPr>
      </w:r>
    </w:p>
    <w:tbl>
      <w:tblPr>
        <w:tblStyle w:val="Table7"/>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7"/>
        <w:gridCol w:w="1259"/>
        <w:gridCol w:w="1162"/>
        <w:gridCol w:w="1259"/>
        <w:gridCol w:w="4263"/>
        <w:tblGridChange w:id="0">
          <w:tblGrid>
            <w:gridCol w:w="1357"/>
            <w:gridCol w:w="1259"/>
            <w:gridCol w:w="1162"/>
            <w:gridCol w:w="1259"/>
            <w:gridCol w:w="4263"/>
          </w:tblGrid>
        </w:tblGridChange>
      </w:tblGrid>
      <w:tr>
        <w:trPr>
          <w:cantSplit w:val="1"/>
          <w:tblHeader w:val="1"/>
        </w:trPr>
        <w:tc>
          <w:tcPr>
            <w:shd w:fill="1f3864" w:val="clear"/>
          </w:tcPr>
          <w:p w:rsidR="00000000" w:rsidDel="00000000" w:rsidP="00000000" w:rsidRDefault="00000000" w:rsidRPr="00000000" w14:paraId="000001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Conjunto</w:t>
            </w:r>
            <w:r w:rsidDel="00000000" w:rsidR="00000000" w:rsidRPr="00000000">
              <w:rPr>
                <w:rtl w:val="0"/>
              </w:rPr>
            </w:r>
          </w:p>
        </w:tc>
        <w:tc>
          <w:tcPr>
            <w:shd w:fill="1f3864" w:val="clear"/>
          </w:tcPr>
          <w:p w:rsidR="00000000" w:rsidDel="00000000" w:rsidP="00000000" w:rsidRDefault="00000000" w:rsidRPr="00000000" w14:paraId="000001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Registros</w:t>
            </w:r>
            <w:r w:rsidDel="00000000" w:rsidR="00000000" w:rsidRPr="00000000">
              <w:rPr>
                <w:rtl w:val="0"/>
              </w:rPr>
            </w:r>
          </w:p>
        </w:tc>
        <w:tc>
          <w:tcPr>
            <w:shd w:fill="1f3864" w:val="clear"/>
          </w:tcPr>
          <w:p w:rsidR="00000000" w:rsidDel="00000000" w:rsidP="00000000" w:rsidRDefault="00000000" w:rsidRPr="00000000" w14:paraId="0000017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 del total</w:t>
            </w:r>
            <w:r w:rsidDel="00000000" w:rsidR="00000000" w:rsidRPr="00000000">
              <w:rPr>
                <w:rtl w:val="0"/>
              </w:rPr>
            </w:r>
          </w:p>
        </w:tc>
        <w:tc>
          <w:tcPr>
            <w:shd w:fill="1f3864" w:val="clear"/>
          </w:tcPr>
          <w:p w:rsidR="00000000" w:rsidDel="00000000" w:rsidP="00000000" w:rsidRDefault="00000000" w:rsidRPr="00000000" w14:paraId="0000017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 Malignant</w:t>
            </w:r>
            <w:r w:rsidDel="00000000" w:rsidR="00000000" w:rsidRPr="00000000">
              <w:rPr>
                <w:rtl w:val="0"/>
              </w:rPr>
            </w:r>
          </w:p>
        </w:tc>
        <w:tc>
          <w:tcPr>
            <w:shd w:fill="1f3864" w:val="clear"/>
          </w:tcPr>
          <w:p w:rsidR="00000000" w:rsidDel="00000000" w:rsidP="00000000" w:rsidRDefault="00000000" w:rsidRPr="00000000" w14:paraId="000001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Uso</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Train</w:t>
            </w:r>
          </w:p>
        </w:tc>
        <w:tc>
          <w:tcPr/>
          <w:p w:rsidR="00000000" w:rsidDel="00000000" w:rsidP="00000000" w:rsidRDefault="00000000" w:rsidRPr="00000000" w14:paraId="000001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148 883</w:t>
            </w:r>
          </w:p>
        </w:tc>
        <w:tc>
          <w:tcPr/>
          <w:p w:rsidR="00000000" w:rsidDel="00000000" w:rsidP="00000000" w:rsidRDefault="00000000" w:rsidRPr="00000000" w14:paraId="000001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70 %</w:t>
            </w:r>
          </w:p>
        </w:tc>
        <w:tc>
          <w:tcPr/>
          <w:p w:rsidR="00000000" w:rsidDel="00000000" w:rsidP="00000000" w:rsidRDefault="00000000" w:rsidRPr="00000000" w14:paraId="000001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23.27 %</w:t>
            </w:r>
          </w:p>
        </w:tc>
        <w:tc>
          <w:tcPr/>
          <w:p w:rsidR="00000000" w:rsidDel="00000000" w:rsidP="00000000" w:rsidRDefault="00000000" w:rsidRPr="00000000" w14:paraId="000001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Ajuste de transformaciones y modelos; CV de 5 folds</w:t>
            </w:r>
          </w:p>
        </w:tc>
      </w:tr>
      <w:tr>
        <w:trPr>
          <w:cantSplit w:val="1"/>
          <w:tblHeader w:val="0"/>
        </w:trPr>
        <w:tc>
          <w:tcPr/>
          <w:p w:rsidR="00000000" w:rsidDel="00000000" w:rsidP="00000000" w:rsidRDefault="00000000" w:rsidRPr="00000000" w14:paraId="000001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w:t>
            </w:r>
          </w:p>
        </w:tc>
        <w:tc>
          <w:tcPr/>
          <w:p w:rsidR="00000000" w:rsidDel="00000000" w:rsidP="00000000" w:rsidRDefault="00000000" w:rsidRPr="00000000" w14:paraId="000001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31 904</w:t>
            </w:r>
          </w:p>
        </w:tc>
        <w:tc>
          <w:tcPr/>
          <w:p w:rsidR="00000000" w:rsidDel="00000000" w:rsidP="00000000" w:rsidRDefault="00000000" w:rsidRPr="00000000" w14:paraId="000001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w:t>
            </w:r>
          </w:p>
        </w:tc>
        <w:tc>
          <w:tcPr/>
          <w:p w:rsidR="00000000" w:rsidDel="00000000" w:rsidP="00000000" w:rsidRDefault="00000000" w:rsidRPr="00000000" w14:paraId="000001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23.27 %</w:t>
            </w:r>
          </w:p>
        </w:tc>
        <w:tc>
          <w:tcPr/>
          <w:p w:rsidR="00000000" w:rsidDel="00000000" w:rsidP="00000000" w:rsidRDefault="00000000" w:rsidRPr="00000000" w14:paraId="000001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Comparación y selección de modelos (TP1)</w:t>
            </w:r>
          </w:p>
        </w:tc>
      </w:tr>
      <w:tr>
        <w:trPr>
          <w:cantSplit w:val="1"/>
          <w:tblHeader w:val="0"/>
        </w:trPr>
        <w:tc>
          <w:tcPr/>
          <w:p w:rsidR="00000000" w:rsidDel="00000000" w:rsidP="00000000" w:rsidRDefault="00000000" w:rsidRPr="00000000" w14:paraId="000001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w:t>
            </w:r>
          </w:p>
        </w:tc>
        <w:tc>
          <w:tcPr/>
          <w:p w:rsidR="00000000" w:rsidDel="00000000" w:rsidP="00000000" w:rsidRDefault="00000000" w:rsidRPr="00000000" w14:paraId="000001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31 904</w:t>
            </w:r>
          </w:p>
        </w:tc>
        <w:tc>
          <w:tcPr/>
          <w:p w:rsidR="00000000" w:rsidDel="00000000" w:rsidP="00000000" w:rsidRDefault="00000000" w:rsidRPr="00000000" w14:paraId="000001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15 %</w:t>
            </w:r>
          </w:p>
        </w:tc>
        <w:tc>
          <w:tcPr/>
          <w:p w:rsidR="00000000" w:rsidDel="00000000" w:rsidP="00000000" w:rsidRDefault="00000000" w:rsidRPr="00000000" w14:paraId="000001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23.27 %</w:t>
            </w:r>
          </w:p>
        </w:tc>
        <w:tc>
          <w:tcPr/>
          <w:p w:rsidR="00000000" w:rsidDel="00000000" w:rsidP="00000000" w:rsidRDefault="00000000" w:rsidRPr="00000000" w14:paraId="000001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Reservado: evaluación final única en el TF1</w:t>
            </w:r>
          </w:p>
        </w:tc>
      </w:tr>
    </w:tbl>
    <w:p w:rsidR="00000000" w:rsidDel="00000000" w:rsidP="00000000" w:rsidRDefault="00000000" w:rsidRPr="00000000" w14:paraId="0000018F">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0">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5.3 Razón de dicha elección</w:t>
      </w:r>
      <w:r w:rsidDel="00000000" w:rsidR="00000000" w:rsidRPr="00000000">
        <w:rPr>
          <w:rtl w:val="0"/>
        </w:rPr>
      </w:r>
    </w:p>
    <w:p w:rsidR="00000000" w:rsidDel="00000000" w:rsidP="00000000" w:rsidRDefault="00000000" w:rsidRPr="00000000" w14:paraId="00000191">
      <w:pPr>
        <w:spacing w:after="120" w:before="120" w:lineRule="auto"/>
        <w:jc w:val="both"/>
        <w:rPr>
          <w:rFonts w:ascii="Times New Roman" w:cs="Times New Roman" w:eastAsia="Times New Roman" w:hAnsi="Times New Roman"/>
        </w:rPr>
      </w:pPr>
      <w:sdt>
        <w:sdtPr>
          <w:id w:val="-1708981756"/>
          <w:tag w:val="goog_rdk_8"/>
        </w:sdtPr>
        <w:sdtContent>
          <w:r w:rsidDel="00000000" w:rsidR="00000000" w:rsidRPr="00000000">
            <w:rPr>
              <w:rFonts w:ascii="Gungsuh" w:cs="Gungsuh" w:eastAsia="Gungsuh" w:hAnsi="Gungsuh"/>
              <w:rtl w:val="0"/>
            </w:rPr>
            <w:t xml:space="preserve">Con más de 212 mil registros, un 15 % (≈ 32 mil pacientes) es suficiente para obtener estimaciones estables de las métricas. La estratificación garantiza que la proporción de malignos (23.3 %) sea idéntica en las tres partes. Al no existir dimensión temporal ni pacientes repetidos, una partición aleatoria es válida. Mantener un test intacto hasta el TF1 evita sobreajustar las decisiones al conjunto de evaluación final.</w:t>
          </w:r>
        </w:sdtContent>
      </w:sdt>
    </w:p>
    <w:p w:rsidR="00000000" w:rsidDel="00000000" w:rsidP="00000000" w:rsidRDefault="00000000" w:rsidRPr="00000000" w14:paraId="00000192">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5.4 Medidas adoptadas para evitar data leakage</w:t>
      </w:r>
      <w:r w:rsidDel="00000000" w:rsidR="00000000" w:rsidRPr="00000000">
        <w:rPr>
          <w:rtl w:val="0"/>
        </w:rPr>
      </w:r>
    </w:p>
    <w:p w:rsidR="00000000" w:rsidDel="00000000" w:rsidP="00000000" w:rsidRDefault="00000000" w:rsidRPr="00000000" w14:paraId="00000193">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La separación se realiza </w:t>
      </w:r>
      <w:r w:rsidDel="00000000" w:rsidR="00000000" w:rsidRPr="00000000">
        <w:rPr>
          <w:rFonts w:ascii="Times New Roman" w:cs="Times New Roman" w:eastAsia="Times New Roman" w:hAnsi="Times New Roman"/>
          <w:b w:val="1"/>
          <w:bCs w:val="1"/>
          <w:rtl w:val="0"/>
        </w:rPr>
        <w:t xml:space="preserve">antes</w:t>
      </w:r>
      <w:r w:rsidDel="00000000" w:rsidR="00000000" w:rsidRPr="00000000">
        <w:rPr>
          <w:rFonts w:ascii="Times New Roman" w:cs="Times New Roman" w:eastAsia="Times New Roman" w:hAnsi="Times New Roman"/>
          <w:rtl w:val="0"/>
        </w:rPr>
        <w:t xml:space="preserve"> de cualquier transformación con parámetros.</w:t>
      </w:r>
    </w:p>
    <w:p w:rsidR="00000000" w:rsidDel="00000000" w:rsidP="00000000" w:rsidRDefault="00000000" w:rsidRPr="00000000" w14:paraId="00000194">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Imputación, escalado y codificación están dentro de un </w:t>
      </w:r>
      <w:r w:rsidDel="00000000" w:rsidR="00000000" w:rsidRPr="00000000">
        <w:rPr>
          <w:rFonts w:ascii="Times New Roman" w:cs="Times New Roman" w:eastAsia="Times New Roman" w:hAnsi="Times New Roman"/>
          <w:b w:val="1"/>
          <w:bCs w:val="1"/>
          <w:rtl w:val="0"/>
        </w:rPr>
        <w:t xml:space="preserve">Pipeline</w:t>
      </w:r>
      <w:r w:rsidDel="00000000" w:rsidR="00000000" w:rsidRPr="00000000">
        <w:rPr>
          <w:rFonts w:ascii="Times New Roman" w:cs="Times New Roman" w:eastAsia="Times New Roman" w:hAnsi="Times New Roman"/>
          <w:rtl w:val="0"/>
        </w:rPr>
        <w:t xml:space="preserve"> y se ajustan solo con train (y dentro de cada fold durante la validación cruzada).</w:t>
      </w:r>
    </w:p>
    <w:p w:rsidR="00000000" w:rsidDel="00000000" w:rsidP="00000000" w:rsidRDefault="00000000" w:rsidRPr="00000000" w14:paraId="00000195">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 excluye Thyroid_Cancer_Risk, cuyo origen es desconocido y que está fuertemente asociado al diagnóstico.</w:t>
      </w:r>
    </w:p>
    <w:p w:rsidR="00000000" w:rsidDel="00000000" w:rsidP="00000000" w:rsidRDefault="00000000" w:rsidRPr="00000000" w14:paraId="00000196">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 conjunto de </w:t>
      </w:r>
      <w:r w:rsidDel="00000000" w:rsidR="00000000" w:rsidRPr="00000000">
        <w:rPr>
          <w:rFonts w:ascii="Times New Roman" w:cs="Times New Roman" w:eastAsia="Times New Roman" w:hAnsi="Times New Roman"/>
          <w:b w:val="1"/>
          <w:bCs w:val="1"/>
          <w:rtl w:val="0"/>
        </w:rPr>
        <w:t xml:space="preserve">test no se utiliza en el TP1</w:t>
      </w:r>
      <w:r w:rsidDel="00000000" w:rsidR="00000000" w:rsidRPr="00000000">
        <w:rPr>
          <w:rFonts w:ascii="Times New Roman" w:cs="Times New Roman" w:eastAsia="Times New Roman" w:hAnsi="Times New Roman"/>
          <w:rtl w:val="0"/>
        </w:rPr>
        <w:t xml:space="preserve">: la comparación de modelos se hace solo con validation.</w:t>
      </w:r>
    </w:p>
    <w:p w:rsidR="00000000" w:rsidDel="00000000" w:rsidP="00000000" w:rsidRDefault="00000000" w:rsidRPr="00000000" w14:paraId="00000197">
      <w:pPr>
        <w:spacing w:after="240" w:before="240" w:lineRule="auto"/>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rtl w:val="0"/>
        </w:rPr>
        <w:t xml:space="preserve">6. Flujo Reproducible de Preprocesamiento</w:t>
      </w:r>
      <w:r w:rsidDel="00000000" w:rsidR="00000000" w:rsidRPr="00000000">
        <w:rPr>
          <w:rtl w:val="0"/>
        </w:rPr>
      </w:r>
    </w:p>
    <w:p w:rsidR="00000000" w:rsidDel="00000000" w:rsidP="00000000" w:rsidRDefault="00000000" w:rsidRPr="00000000" w14:paraId="00000198">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preprocesamiento se implementó con </w:t>
      </w:r>
      <w:r w:rsidDel="00000000" w:rsidR="00000000" w:rsidRPr="00000000">
        <w:rPr>
          <w:rFonts w:ascii="Times New Roman" w:cs="Times New Roman" w:eastAsia="Times New Roman" w:hAnsi="Times New Roman"/>
          <w:b w:val="1"/>
          <w:bCs w:val="1"/>
          <w:rtl w:val="0"/>
        </w:rPr>
        <w:t xml:space="preserve">Pipeline</w:t>
      </w:r>
      <w:r w:rsidDel="00000000" w:rsidR="00000000" w:rsidRPr="00000000">
        <w:rPr>
          <w:rFonts w:ascii="Times New Roman" w:cs="Times New Roman" w:eastAsia="Times New Roman" w:hAnsi="Times New Roman"/>
          <w:rtl w:val="0"/>
        </w:rPr>
        <w:t xml:space="preserve"> y </w:t>
      </w:r>
      <w:r w:rsidDel="00000000" w:rsidR="00000000" w:rsidRPr="00000000">
        <w:rPr>
          <w:rFonts w:ascii="Times New Roman" w:cs="Times New Roman" w:eastAsia="Times New Roman" w:hAnsi="Times New Roman"/>
          <w:b w:val="1"/>
          <w:bCs w:val="1"/>
          <w:rtl w:val="0"/>
        </w:rPr>
        <w:t xml:space="preserve">ColumnTransformer</w:t>
      </w:r>
      <w:r w:rsidDel="00000000" w:rsidR="00000000" w:rsidRPr="00000000">
        <w:rPr>
          <w:rFonts w:ascii="Times New Roman" w:cs="Times New Roman" w:eastAsia="Times New Roman" w:hAnsi="Times New Roman"/>
          <w:rtl w:val="0"/>
        </w:rPr>
        <w:t xml:space="preserve"> de scikit-learn (src/features.py). Cada modelo es un Pipeline completo «preprocesamiento + estimador», de modo que al llamar a fit() con train las transformaciones se ajustan únicamente con esos datos y se aplican igual en validation, test y en el uso futuro del modelo.</w:t>
      </w:r>
    </w:p>
    <w:tbl>
      <w:tblPr>
        <w:tblStyle w:val="Table8"/>
        <w:tblW w:w="9299.999999999998"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17"/>
        <w:gridCol w:w="3227"/>
        <w:gridCol w:w="3227"/>
        <w:gridCol w:w="1329"/>
        <w:tblGridChange w:id="0">
          <w:tblGrid>
            <w:gridCol w:w="1517"/>
            <w:gridCol w:w="3227"/>
            <w:gridCol w:w="3227"/>
            <w:gridCol w:w="1329"/>
          </w:tblGrid>
        </w:tblGridChange>
      </w:tblGrid>
      <w:tr>
        <w:trPr>
          <w:cantSplit w:val="1"/>
          <w:tblHeader w:val="1"/>
        </w:trPr>
        <w:tc>
          <w:tcPr>
            <w:shd w:fill="1f3864" w:val="clear"/>
          </w:tcPr>
          <w:p w:rsidR="00000000" w:rsidDel="00000000" w:rsidP="00000000" w:rsidRDefault="00000000" w:rsidRPr="00000000" w14:paraId="000001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Tipo de variable</w:t>
            </w:r>
            <w:r w:rsidDel="00000000" w:rsidR="00000000" w:rsidRPr="00000000">
              <w:rPr>
                <w:rtl w:val="0"/>
              </w:rPr>
            </w:r>
          </w:p>
        </w:tc>
        <w:tc>
          <w:tcPr>
            <w:shd w:fill="1f3864" w:val="clear"/>
          </w:tcPr>
          <w:p w:rsidR="00000000" w:rsidDel="00000000" w:rsidP="00000000" w:rsidRDefault="00000000" w:rsidRPr="00000000" w14:paraId="000001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Columnas</w:t>
            </w:r>
            <w:r w:rsidDel="00000000" w:rsidR="00000000" w:rsidRPr="00000000">
              <w:rPr>
                <w:rtl w:val="0"/>
              </w:rPr>
            </w:r>
          </w:p>
        </w:tc>
        <w:tc>
          <w:tcPr>
            <w:shd w:fill="1f3864" w:val="clear"/>
          </w:tcPr>
          <w:p w:rsidR="00000000" w:rsidDel="00000000" w:rsidP="00000000" w:rsidRDefault="00000000" w:rsidRPr="00000000" w14:paraId="000001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Transformaciones</w:t>
            </w:r>
            <w:r w:rsidDel="00000000" w:rsidR="00000000" w:rsidRPr="00000000">
              <w:rPr>
                <w:rtl w:val="0"/>
              </w:rPr>
            </w:r>
          </w:p>
        </w:tc>
        <w:tc>
          <w:tcPr>
            <w:shd w:fill="1f3864" w:val="clear"/>
          </w:tcPr>
          <w:p w:rsidR="00000000" w:rsidDel="00000000" w:rsidP="00000000" w:rsidRDefault="00000000" w:rsidRPr="00000000" w14:paraId="000001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Momento de ajuste</w:t>
            </w:r>
            <w:r w:rsidDel="00000000" w:rsidR="00000000" w:rsidRPr="00000000">
              <w:rPr>
                <w:rtl w:val="0"/>
              </w:rPr>
            </w:r>
          </w:p>
        </w:tc>
      </w:tr>
      <w:tr>
        <w:trPr>
          <w:cantSplit w:val="1"/>
          <w:tblHeader w:val="0"/>
        </w:trPr>
        <w:tc>
          <w:tcPr/>
          <w:p w:rsidR="00000000" w:rsidDel="00000000" w:rsidP="00000000" w:rsidRDefault="00000000" w:rsidRPr="00000000" w14:paraId="000001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Numéricas</w:t>
            </w:r>
          </w:p>
        </w:tc>
        <w:tc>
          <w:tcPr/>
          <w:p w:rsidR="00000000" w:rsidDel="00000000" w:rsidP="00000000" w:rsidRDefault="00000000" w:rsidRPr="00000000" w14:paraId="000001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Age, TSH_Level, T3_Level, T4_Level, Nodule_Size</w:t>
            </w:r>
          </w:p>
        </w:tc>
        <w:tc>
          <w:tcPr/>
          <w:p w:rsidR="00000000" w:rsidDel="00000000" w:rsidP="00000000" w:rsidRDefault="00000000" w:rsidRPr="00000000" w14:paraId="0000019F">
            <w:pPr>
              <w:spacing w:after="0" w:line="240" w:lineRule="auto"/>
              <w:rPr>
                <w:rFonts w:ascii="Times New Roman" w:cs="Times New Roman" w:eastAsia="Times New Roman" w:hAnsi="Times New Roman"/>
              </w:rPr>
            </w:pPr>
            <w:sdt>
              <w:sdtPr>
                <w:id w:val="-455651746"/>
                <w:tag w:val="goog_rdk_9"/>
              </w:sdtPr>
              <w:sdtContent>
                <w:r w:rsidDel="00000000" w:rsidR="00000000" w:rsidRPr="00000000">
                  <w:rPr>
                    <w:rFonts w:ascii="Cardo" w:cs="Cardo" w:eastAsia="Cardo" w:hAnsi="Cardo"/>
                    <w:rtl w:val="0"/>
                  </w:rPr>
                  <w:t xml:space="preserve">SimpleImputer(median) → StandardScaler (solo Regresión Logística)</w:t>
                </w:r>
              </w:sdtContent>
            </w:sdt>
          </w:p>
        </w:tc>
        <w:tc>
          <w:tcPr/>
          <w:p w:rsidR="00000000" w:rsidDel="00000000" w:rsidP="00000000" w:rsidRDefault="00000000" w:rsidRPr="00000000" w14:paraId="000001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fit() sobre train</w:t>
            </w:r>
          </w:p>
        </w:tc>
      </w:tr>
      <w:tr>
        <w:trPr>
          <w:cantSplit w:val="1"/>
          <w:tblHeader w:val="0"/>
        </w:trPr>
        <w:tc>
          <w:tcPr/>
          <w:p w:rsidR="00000000" w:rsidDel="00000000" w:rsidP="00000000" w:rsidRDefault="00000000" w:rsidRPr="00000000" w14:paraId="000001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Categóricas</w:t>
            </w:r>
          </w:p>
        </w:tc>
        <w:tc>
          <w:tcPr/>
          <w:p w:rsidR="00000000" w:rsidDel="00000000" w:rsidP="00000000" w:rsidRDefault="00000000" w:rsidRPr="00000000" w14:paraId="000001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 Family_History, Radiation_Exposure, Iodine_Deficiency, Smoking, Obesity, Diabetes, Country, Ethnicity</w:t>
            </w:r>
          </w:p>
        </w:tc>
        <w:tc>
          <w:tcPr/>
          <w:p w:rsidR="00000000" w:rsidDel="00000000" w:rsidP="00000000" w:rsidRDefault="00000000" w:rsidRPr="00000000" w14:paraId="000001A3">
            <w:pPr>
              <w:spacing w:after="0" w:line="240" w:lineRule="auto"/>
              <w:rPr>
                <w:rFonts w:ascii="Times New Roman" w:cs="Times New Roman" w:eastAsia="Times New Roman" w:hAnsi="Times New Roman"/>
              </w:rPr>
            </w:pPr>
            <w:sdt>
              <w:sdtPr>
                <w:id w:val="1195877055"/>
                <w:tag w:val="goog_rdk_10"/>
              </w:sdtPr>
              <w:sdtContent>
                <w:r w:rsidDel="00000000" w:rsidR="00000000" w:rsidRPr="00000000">
                  <w:rPr>
                    <w:rFonts w:ascii="Cardo" w:cs="Cardo" w:eastAsia="Cardo" w:hAnsi="Cardo"/>
                    <w:rtl w:val="0"/>
                  </w:rPr>
                  <w:t xml:space="preserve">SimpleImputer(most_frequent) → OneHotEncoder(drop='if_binary', handle_unknown='ignore')</w:t>
                </w:r>
              </w:sdtContent>
            </w:sdt>
          </w:p>
        </w:tc>
        <w:tc>
          <w:tcPr/>
          <w:p w:rsidR="00000000" w:rsidDel="00000000" w:rsidP="00000000" w:rsidRDefault="00000000" w:rsidRPr="00000000" w14:paraId="000001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fit() sobre train</w:t>
            </w:r>
          </w:p>
        </w:tc>
      </w:tr>
      <w:tr>
        <w:trPr>
          <w:cantSplit w:val="1"/>
          <w:tblHeader w:val="0"/>
        </w:trPr>
        <w:tc>
          <w:tcPr/>
          <w:p w:rsidR="00000000" w:rsidDel="00000000" w:rsidP="00000000" w:rsidRDefault="00000000" w:rsidRPr="00000000" w14:paraId="000001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Excluidas</w:t>
            </w:r>
          </w:p>
        </w:tc>
        <w:tc>
          <w:tcPr/>
          <w:p w:rsidR="00000000" w:rsidDel="00000000" w:rsidP="00000000" w:rsidRDefault="00000000" w:rsidRPr="00000000" w14:paraId="000001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Patient_ID, Thyroid_Cancer_Risk</w:t>
            </w:r>
          </w:p>
        </w:tc>
        <w:tc>
          <w:tcPr/>
          <w:p w:rsidR="00000000" w:rsidDel="00000000" w:rsidP="00000000" w:rsidRDefault="00000000" w:rsidRPr="00000000" w14:paraId="000001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remainder='drop'</w:t>
            </w:r>
          </w:p>
        </w:tc>
        <w:tc>
          <w:tcPr/>
          <w:p w:rsidR="00000000" w:rsidDel="00000000" w:rsidP="00000000" w:rsidRDefault="00000000" w:rsidRPr="00000000" w14:paraId="000001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r>
    </w:tbl>
    <w:p w:rsidR="00000000" w:rsidDel="00000000" w:rsidP="00000000" w:rsidRDefault="00000000" w:rsidRPr="00000000" w14:paraId="000001A9">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A">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repositorio está organizado en carpetas data/, notebooks/, src/, models/ y reports/. Todo el flujo puede reproducirse con «pip install -r requirements.txt» y «python -m src.train», o ejecutando el notebook 01_TP1_thyroid.ipynb. Los modelos entrenados se guardan en models/ como archivos .joblib.</w:t>
      </w:r>
    </w:p>
    <w:p w:rsidR="00000000" w:rsidDel="00000000" w:rsidP="00000000" w:rsidRDefault="00000000" w:rsidRPr="00000000" w14:paraId="000001AB">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6.1 Matriz de decisiones de herramientas</w:t>
      </w:r>
      <w:r w:rsidDel="00000000" w:rsidR="00000000" w:rsidRPr="00000000">
        <w:rPr>
          <w:rtl w:val="0"/>
        </w:rPr>
      </w:r>
    </w:p>
    <w:tbl>
      <w:tblPr>
        <w:tblStyle w:val="Table9"/>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408"/>
        <w:gridCol w:w="2255"/>
        <w:gridCol w:w="1879"/>
        <w:gridCol w:w="3758"/>
        <w:tblGridChange w:id="0">
          <w:tblGrid>
            <w:gridCol w:w="1408"/>
            <w:gridCol w:w="2255"/>
            <w:gridCol w:w="1879"/>
            <w:gridCol w:w="3758"/>
          </w:tblGrid>
        </w:tblGridChange>
      </w:tblGrid>
      <w:tr>
        <w:trPr>
          <w:cantSplit w:val="1"/>
          <w:tblHeader w:val="1"/>
        </w:trPr>
        <w:tc>
          <w:tcPr>
            <w:shd w:fill="1f3864" w:val="clear"/>
          </w:tcPr>
          <w:p w:rsidR="00000000" w:rsidDel="00000000" w:rsidP="00000000" w:rsidRDefault="00000000" w:rsidRPr="00000000" w14:paraId="000001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Necesidad</w:t>
            </w:r>
            <w:r w:rsidDel="00000000" w:rsidR="00000000" w:rsidRPr="00000000">
              <w:rPr>
                <w:rtl w:val="0"/>
              </w:rPr>
            </w:r>
          </w:p>
        </w:tc>
        <w:tc>
          <w:tcPr>
            <w:shd w:fill="1f3864" w:val="clear"/>
          </w:tcPr>
          <w:p w:rsidR="00000000" w:rsidDel="00000000" w:rsidP="00000000" w:rsidRDefault="00000000" w:rsidRPr="00000000" w14:paraId="000001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Herramienta elegida</w:t>
            </w:r>
            <w:r w:rsidDel="00000000" w:rsidR="00000000" w:rsidRPr="00000000">
              <w:rPr>
                <w:rtl w:val="0"/>
              </w:rPr>
            </w:r>
          </w:p>
        </w:tc>
        <w:tc>
          <w:tcPr>
            <w:shd w:fill="1f3864" w:val="clear"/>
          </w:tcPr>
          <w:p w:rsidR="00000000" w:rsidDel="00000000" w:rsidP="00000000" w:rsidRDefault="00000000" w:rsidRPr="00000000" w14:paraId="000001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Alternativa considerada</w:t>
            </w:r>
            <w:r w:rsidDel="00000000" w:rsidR="00000000" w:rsidRPr="00000000">
              <w:rPr>
                <w:rtl w:val="0"/>
              </w:rPr>
            </w:r>
          </w:p>
        </w:tc>
        <w:tc>
          <w:tcPr>
            <w:shd w:fill="1f3864" w:val="clear"/>
          </w:tcPr>
          <w:p w:rsidR="00000000" w:rsidDel="00000000" w:rsidP="00000000" w:rsidRDefault="00000000" w:rsidRPr="00000000" w14:paraId="000001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Justificación</w:t>
            </w:r>
            <w:r w:rsidDel="00000000" w:rsidR="00000000" w:rsidRPr="00000000">
              <w:rPr>
                <w:rtl w:val="0"/>
              </w:rPr>
            </w:r>
          </w:p>
        </w:tc>
      </w:tr>
      <w:tr>
        <w:trPr>
          <w:cantSplit w:val="1"/>
          <w:tblHeader w:val="0"/>
        </w:trPr>
        <w:tc>
          <w:tcPr/>
          <w:p w:rsidR="00000000" w:rsidDel="00000000" w:rsidP="00000000" w:rsidRDefault="00000000" w:rsidRPr="00000000" w14:paraId="000001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EDA</w:t>
            </w:r>
          </w:p>
        </w:tc>
        <w:tc>
          <w:tcPr/>
          <w:p w:rsidR="00000000" w:rsidDel="00000000" w:rsidP="00000000" w:rsidRDefault="00000000" w:rsidRPr="00000000" w14:paraId="000001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pandas, matplotlib, seaborn, scipy</w:t>
            </w:r>
          </w:p>
        </w:tc>
        <w:tc>
          <w:tcPr/>
          <w:p w:rsidR="00000000" w:rsidDel="00000000" w:rsidP="00000000" w:rsidRDefault="00000000" w:rsidRPr="00000000" w14:paraId="000001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ydata-profiling</w:t>
            </w:r>
          </w:p>
        </w:tc>
        <w:tc>
          <w:tcPr/>
          <w:p w:rsidR="00000000" w:rsidDel="00000000" w:rsidP="00000000" w:rsidRDefault="00000000" w:rsidRPr="00000000" w14:paraId="000001B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Gráficos orientados a preguntas y pruebas estadísticas (χ², Mann-Whitney, V de Cramér) en lugar de un reporte automático.</w:t>
            </w:r>
          </w:p>
        </w:tc>
      </w:tr>
      <w:tr>
        <w:trPr>
          <w:cantSplit w:val="1"/>
          <w:tblHeader w:val="0"/>
        </w:trPr>
        <w:tc>
          <w:tcPr/>
          <w:p w:rsidR="00000000" w:rsidDel="00000000" w:rsidP="00000000" w:rsidRDefault="00000000" w:rsidRPr="00000000" w14:paraId="000001B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Preparación</w:t>
            </w:r>
          </w:p>
        </w:tc>
        <w:tc>
          <w:tcPr/>
          <w:p w:rsidR="00000000" w:rsidDel="00000000" w:rsidP="00000000" w:rsidRDefault="00000000" w:rsidRPr="00000000" w14:paraId="000001B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Pipeline + ColumnTransformer</w:t>
            </w:r>
          </w:p>
        </w:tc>
        <w:tc>
          <w:tcPr/>
          <w:p w:rsidR="00000000" w:rsidDel="00000000" w:rsidP="00000000" w:rsidRDefault="00000000" w:rsidRPr="00000000" w14:paraId="000001B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Transformaciones manuales en pandas</w:t>
            </w:r>
          </w:p>
        </w:tc>
        <w:tc>
          <w:tcPr/>
          <w:p w:rsidR="00000000" w:rsidDel="00000000" w:rsidP="00000000" w:rsidRDefault="00000000" w:rsidRPr="00000000" w14:paraId="000001B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Evita fuga de información y permite reutilizar el mismo flujo en inferencia.</w:t>
            </w:r>
          </w:p>
        </w:tc>
      </w:tr>
      <w:tr>
        <w:trPr>
          <w:cantSplit w:val="1"/>
          <w:tblHeader w:val="0"/>
        </w:trPr>
        <w:tc>
          <w:tcPr/>
          <w:p w:rsidR="00000000" w:rsidDel="00000000" w:rsidP="00000000" w:rsidRDefault="00000000" w:rsidRPr="00000000" w14:paraId="000001B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Modelamiento</w:t>
            </w:r>
          </w:p>
        </w:tc>
        <w:tc>
          <w:tcPr/>
          <w:p w:rsidR="00000000" w:rsidDel="00000000" w:rsidP="00000000" w:rsidRDefault="00000000" w:rsidRPr="00000000" w14:paraId="000001B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Regresión Logística, Random Forest, HistGradientBoosting</w:t>
            </w:r>
          </w:p>
        </w:tc>
        <w:tc>
          <w:tcPr/>
          <w:p w:rsidR="00000000" w:rsidDel="00000000" w:rsidP="00000000" w:rsidRDefault="00000000" w:rsidRPr="00000000" w14:paraId="000001B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XGBoost / LightGBM</w:t>
            </w:r>
          </w:p>
        </w:tc>
        <w:tc>
          <w:tcPr/>
          <w:p w:rsidR="00000000" w:rsidDel="00000000" w:rsidP="00000000" w:rsidRDefault="00000000" w:rsidRPr="00000000" w14:paraId="000001B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HGB ofrece boosting eficiente sin dependencias adicionales; LR aporta interpretabilidad.</w:t>
            </w:r>
          </w:p>
        </w:tc>
      </w:tr>
      <w:tr>
        <w:trPr>
          <w:cantSplit w:val="1"/>
          <w:tblHeader w:val="0"/>
        </w:trPr>
        <w:tc>
          <w:tcPr/>
          <w:p w:rsidR="00000000" w:rsidDel="00000000" w:rsidP="00000000" w:rsidRDefault="00000000" w:rsidRPr="00000000" w14:paraId="000001B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Experimentación</w:t>
            </w:r>
          </w:p>
        </w:tc>
        <w:tc>
          <w:tcPr/>
          <w:p w:rsidR="00000000" w:rsidDel="00000000" w:rsidP="00000000" w:rsidRDefault="00000000" w:rsidRPr="00000000" w14:paraId="000001B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StratifiedKFold (TP1); Optuna + MLflow (TF1)</w:t>
            </w:r>
          </w:p>
        </w:tc>
        <w:tc>
          <w:tcPr/>
          <w:p w:rsidR="00000000" w:rsidDel="00000000" w:rsidP="00000000" w:rsidRDefault="00000000" w:rsidRPr="00000000" w14:paraId="000001B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GridSearchCV</w:t>
            </w:r>
          </w:p>
        </w:tc>
        <w:tc>
          <w:tcPr/>
          <w:p w:rsidR="00000000" w:rsidDel="00000000" w:rsidP="00000000" w:rsidRDefault="00000000" w:rsidRPr="00000000" w14:paraId="000001B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Optuna explora el espacio de hiperparámetros de forma más eficiente; MLflow registra cada configuración.</w:t>
            </w:r>
          </w:p>
        </w:tc>
      </w:tr>
      <w:tr>
        <w:trPr>
          <w:cantSplit w:val="1"/>
          <w:tblHeader w:val="0"/>
        </w:trPr>
        <w:tc>
          <w:tcPr/>
          <w:p w:rsidR="00000000" w:rsidDel="00000000" w:rsidP="00000000" w:rsidRDefault="00000000" w:rsidRPr="00000000" w14:paraId="000001C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Interpretabilidad</w:t>
            </w:r>
          </w:p>
        </w:tc>
        <w:tc>
          <w:tcPr/>
          <w:p w:rsidR="00000000" w:rsidDel="00000000" w:rsidP="00000000" w:rsidRDefault="00000000" w:rsidRPr="00000000" w14:paraId="000001C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Coeficientes LR (TP1); SHAP (TF1)</w:t>
            </w:r>
          </w:p>
        </w:tc>
        <w:tc>
          <w:tcPr/>
          <w:p w:rsidR="00000000" w:rsidDel="00000000" w:rsidP="00000000" w:rsidRDefault="00000000" w:rsidRPr="00000000" w14:paraId="000001C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Permutation importance</w:t>
            </w:r>
          </w:p>
        </w:tc>
        <w:tc>
          <w:tcPr/>
          <w:p w:rsidR="00000000" w:rsidDel="00000000" w:rsidP="00000000" w:rsidRDefault="00000000" w:rsidRPr="00000000" w14:paraId="000001C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 permite explicaciones globales y por paciente.</w:t>
            </w:r>
          </w:p>
        </w:tc>
      </w:tr>
      <w:tr>
        <w:trPr>
          <w:cantSplit w:val="1"/>
          <w:tblHeader w:val="0"/>
        </w:trPr>
        <w:tc>
          <w:tcPr/>
          <w:p w:rsidR="00000000" w:rsidDel="00000000" w:rsidP="00000000" w:rsidRDefault="00000000" w:rsidRPr="00000000" w14:paraId="000001C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Despliegue</w:t>
            </w:r>
          </w:p>
        </w:tc>
        <w:tc>
          <w:tcPr/>
          <w:p w:rsidR="00000000" w:rsidDel="00000000" w:rsidP="00000000" w:rsidRDefault="00000000" w:rsidRPr="00000000" w14:paraId="000001C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Streamlit (TF1)</w:t>
            </w:r>
          </w:p>
        </w:tc>
        <w:tc>
          <w:tcPr/>
          <w:p w:rsidR="00000000" w:rsidDel="00000000" w:rsidP="00000000" w:rsidRDefault="00000000" w:rsidRPr="00000000" w14:paraId="000001C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FastAPI</w:t>
            </w:r>
          </w:p>
        </w:tc>
        <w:tc>
          <w:tcPr/>
          <w:p w:rsidR="00000000" w:rsidDel="00000000" w:rsidP="00000000" w:rsidRDefault="00000000" w:rsidRPr="00000000" w14:paraId="000001C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Interfaz sencilla para demostrar el uso del modelo fuera del notebook.</w:t>
            </w:r>
          </w:p>
        </w:tc>
      </w:tr>
    </w:tbl>
    <w:p w:rsidR="00000000" w:rsidDel="00000000" w:rsidP="00000000" w:rsidRDefault="00000000" w:rsidRPr="00000000" w14:paraId="000001C8">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9">
      <w:pPr>
        <w:spacing w:after="240" w:before="240" w:lineRule="auto"/>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rtl w:val="0"/>
        </w:rPr>
        <w:t xml:space="preserve">7. Baseline</w:t>
      </w:r>
      <w:r w:rsidDel="00000000" w:rsidR="00000000" w:rsidRPr="00000000">
        <w:rPr>
          <w:rtl w:val="0"/>
        </w:rPr>
      </w:r>
    </w:p>
    <w:p w:rsidR="00000000" w:rsidDel="00000000" w:rsidP="00000000" w:rsidRDefault="00000000" w:rsidRPr="00000000" w14:paraId="000001CA">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responder si el modelo mejora realmente frente a una solución trivial, se definieron tres referencias:</w:t>
      </w:r>
    </w:p>
    <w:tbl>
      <w:tblPr>
        <w:tblStyle w:val="Table10"/>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725"/>
        <w:gridCol w:w="3451"/>
        <w:gridCol w:w="959"/>
        <w:gridCol w:w="1055"/>
        <w:gridCol w:w="1055"/>
        <w:gridCol w:w="1055"/>
        <w:tblGridChange w:id="0">
          <w:tblGrid>
            <w:gridCol w:w="1725"/>
            <w:gridCol w:w="3451"/>
            <w:gridCol w:w="959"/>
            <w:gridCol w:w="1055"/>
            <w:gridCol w:w="1055"/>
            <w:gridCol w:w="1055"/>
          </w:tblGrid>
        </w:tblGridChange>
      </w:tblGrid>
      <w:tr>
        <w:trPr>
          <w:cantSplit w:val="1"/>
          <w:tblHeader w:val="1"/>
        </w:trPr>
        <w:tc>
          <w:tcPr>
            <w:shd w:fill="1f3864" w:val="clear"/>
          </w:tcPr>
          <w:p w:rsidR="00000000" w:rsidDel="00000000" w:rsidP="00000000" w:rsidRDefault="00000000" w:rsidRPr="00000000" w14:paraId="000001C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Baseline</w:t>
            </w:r>
            <w:r w:rsidDel="00000000" w:rsidR="00000000" w:rsidRPr="00000000">
              <w:rPr>
                <w:rtl w:val="0"/>
              </w:rPr>
            </w:r>
          </w:p>
        </w:tc>
        <w:tc>
          <w:tcPr>
            <w:shd w:fill="1f3864" w:val="clear"/>
          </w:tcPr>
          <w:p w:rsidR="00000000" w:rsidDel="00000000" w:rsidP="00000000" w:rsidRDefault="00000000" w:rsidRPr="00000000" w14:paraId="000001C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Descripción</w:t>
            </w:r>
            <w:r w:rsidDel="00000000" w:rsidR="00000000" w:rsidRPr="00000000">
              <w:rPr>
                <w:rtl w:val="0"/>
              </w:rPr>
            </w:r>
          </w:p>
        </w:tc>
        <w:tc>
          <w:tcPr>
            <w:shd w:fill="1f3864" w:val="clear"/>
          </w:tcPr>
          <w:p w:rsidR="00000000" w:rsidDel="00000000" w:rsidP="00000000" w:rsidRDefault="00000000" w:rsidRPr="00000000" w14:paraId="000001C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Recall</w:t>
            </w:r>
            <w:r w:rsidDel="00000000" w:rsidR="00000000" w:rsidRPr="00000000">
              <w:rPr>
                <w:rtl w:val="0"/>
              </w:rPr>
            </w:r>
          </w:p>
        </w:tc>
        <w:tc>
          <w:tcPr>
            <w:shd w:fill="1f3864" w:val="clear"/>
          </w:tcPr>
          <w:p w:rsidR="00000000" w:rsidDel="00000000" w:rsidP="00000000" w:rsidRDefault="00000000" w:rsidRPr="00000000" w14:paraId="000001C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Precisión</w:t>
            </w:r>
            <w:r w:rsidDel="00000000" w:rsidR="00000000" w:rsidRPr="00000000">
              <w:rPr>
                <w:rtl w:val="0"/>
              </w:rPr>
            </w:r>
          </w:p>
        </w:tc>
        <w:tc>
          <w:tcPr>
            <w:shd w:fill="1f3864" w:val="clear"/>
          </w:tcPr>
          <w:p w:rsidR="00000000" w:rsidDel="00000000" w:rsidP="00000000" w:rsidRDefault="00000000" w:rsidRPr="00000000" w14:paraId="000001C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ROC-AUC</w:t>
            </w:r>
            <w:r w:rsidDel="00000000" w:rsidR="00000000" w:rsidRPr="00000000">
              <w:rPr>
                <w:rtl w:val="0"/>
              </w:rPr>
            </w:r>
          </w:p>
        </w:tc>
        <w:tc>
          <w:tcPr>
            <w:shd w:fill="1f3864" w:val="clear"/>
          </w:tcPr>
          <w:p w:rsidR="00000000" w:rsidDel="00000000" w:rsidP="00000000" w:rsidRDefault="00000000" w:rsidRPr="00000000" w14:paraId="000001D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PR-AUC</w:t>
            </w:r>
            <w:r w:rsidDel="00000000" w:rsidR="00000000" w:rsidRPr="00000000">
              <w:rPr>
                <w:rtl w:val="0"/>
              </w:rPr>
            </w:r>
          </w:p>
        </w:tc>
      </w:tr>
      <w:tr>
        <w:trPr>
          <w:cantSplit w:val="1"/>
          <w:tblHeader w:val="0"/>
        </w:trPr>
        <w:tc>
          <w:tcPr/>
          <w:p w:rsidR="00000000" w:rsidDel="00000000" w:rsidP="00000000" w:rsidRDefault="00000000" w:rsidRPr="00000000" w14:paraId="000001D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Siempre Benign</w:t>
            </w:r>
          </w:p>
        </w:tc>
        <w:tc>
          <w:tcPr/>
          <w:p w:rsidR="00000000" w:rsidDel="00000000" w:rsidP="00000000" w:rsidRDefault="00000000" w:rsidRPr="00000000" w14:paraId="000001D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DummyClassifier(most_frequent)</w:t>
            </w:r>
          </w:p>
        </w:tc>
        <w:tc>
          <w:tcPr/>
          <w:p w:rsidR="00000000" w:rsidDel="00000000" w:rsidP="00000000" w:rsidRDefault="00000000" w:rsidRPr="00000000" w14:paraId="000001D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0.000</w:t>
            </w:r>
          </w:p>
        </w:tc>
        <w:tc>
          <w:tcPr/>
          <w:p w:rsidR="00000000" w:rsidDel="00000000" w:rsidP="00000000" w:rsidRDefault="00000000" w:rsidRPr="00000000" w14:paraId="000001D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0.000</w:t>
            </w:r>
          </w:p>
        </w:tc>
        <w:tc>
          <w:tcPr/>
          <w:p w:rsidR="00000000" w:rsidDel="00000000" w:rsidP="00000000" w:rsidRDefault="00000000" w:rsidRPr="00000000" w14:paraId="000001D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0.500</w:t>
            </w:r>
          </w:p>
        </w:tc>
        <w:tc>
          <w:tcPr/>
          <w:p w:rsidR="00000000" w:rsidDel="00000000" w:rsidP="00000000" w:rsidRDefault="00000000" w:rsidRPr="00000000" w14:paraId="000001D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0.233</w:t>
            </w:r>
          </w:p>
        </w:tc>
      </w:tr>
      <w:tr>
        <w:trPr>
          <w:cantSplit w:val="1"/>
          <w:tblHeader w:val="0"/>
        </w:trPr>
        <w:tc>
          <w:tcPr/>
          <w:p w:rsidR="00000000" w:rsidDel="00000000" w:rsidP="00000000" w:rsidRDefault="00000000" w:rsidRPr="00000000" w14:paraId="000001D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Dummy estratificado</w:t>
            </w:r>
          </w:p>
        </w:tc>
        <w:tc>
          <w:tcPr/>
          <w:p w:rsidR="00000000" w:rsidDel="00000000" w:rsidP="00000000" w:rsidRDefault="00000000" w:rsidRPr="00000000" w14:paraId="000001D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Predice al azar respetando la proporción de clases</w:t>
            </w:r>
          </w:p>
        </w:tc>
        <w:tc>
          <w:tcPr/>
          <w:p w:rsidR="00000000" w:rsidDel="00000000" w:rsidP="00000000" w:rsidRDefault="00000000" w:rsidRPr="00000000" w14:paraId="000001D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0.226</w:t>
            </w:r>
          </w:p>
        </w:tc>
        <w:tc>
          <w:tcPr/>
          <w:p w:rsidR="00000000" w:rsidDel="00000000" w:rsidP="00000000" w:rsidRDefault="00000000" w:rsidRPr="00000000" w14:paraId="000001D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0.227</w:t>
            </w:r>
          </w:p>
        </w:tc>
        <w:tc>
          <w:tcPr/>
          <w:p w:rsidR="00000000" w:rsidDel="00000000" w:rsidP="00000000" w:rsidRDefault="00000000" w:rsidRPr="00000000" w14:paraId="000001D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0.496</w:t>
            </w:r>
          </w:p>
        </w:tc>
        <w:tc>
          <w:tcPr/>
          <w:p w:rsidR="00000000" w:rsidDel="00000000" w:rsidP="00000000" w:rsidRDefault="00000000" w:rsidRPr="00000000" w14:paraId="000001D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0.231</w:t>
            </w:r>
          </w:p>
        </w:tc>
      </w:tr>
      <w:tr>
        <w:trPr>
          <w:cantSplit w:val="1"/>
          <w:tblHeader w:val="0"/>
        </w:trPr>
        <w:tc>
          <w:tcPr/>
          <w:p w:rsidR="00000000" w:rsidDel="00000000" w:rsidP="00000000" w:rsidRDefault="00000000" w:rsidRPr="00000000" w14:paraId="000001D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Regla del dominio</w:t>
            </w:r>
          </w:p>
        </w:tc>
        <w:tc>
          <w:tcPr/>
          <w:p w:rsidR="00000000" w:rsidDel="00000000" w:rsidP="00000000" w:rsidRDefault="00000000" w:rsidRPr="00000000" w14:paraId="000001D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Malignant si Thyroid_Cancer_Risk = High</w:t>
            </w:r>
          </w:p>
        </w:tc>
        <w:tc>
          <w:tcPr/>
          <w:p w:rsidR="00000000" w:rsidDel="00000000" w:rsidP="00000000" w:rsidRDefault="00000000" w:rsidRPr="00000000" w14:paraId="000001D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0.453</w:t>
            </w:r>
          </w:p>
        </w:tc>
        <w:tc>
          <w:tcPr/>
          <w:p w:rsidR="00000000" w:rsidDel="00000000" w:rsidP="00000000" w:rsidRDefault="00000000" w:rsidRPr="00000000" w14:paraId="000001E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0.701</w:t>
            </w:r>
          </w:p>
        </w:tc>
        <w:tc>
          <w:tcPr/>
          <w:p w:rsidR="00000000" w:rsidDel="00000000" w:rsidP="00000000" w:rsidRDefault="00000000" w:rsidRPr="00000000" w14:paraId="000001E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0.701</w:t>
            </w:r>
          </w:p>
        </w:tc>
        <w:tc>
          <w:tcPr/>
          <w:p w:rsidR="00000000" w:rsidDel="00000000" w:rsidP="00000000" w:rsidRDefault="00000000" w:rsidRPr="00000000" w14:paraId="000001E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0.465</w:t>
            </w:r>
          </w:p>
        </w:tc>
      </w:tr>
    </w:tbl>
    <w:p w:rsidR="00000000" w:rsidDel="00000000" w:rsidP="00000000" w:rsidRDefault="00000000" w:rsidRPr="00000000" w14:paraId="000001E3">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E4">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Interpretación del grupo:</w:t>
      </w:r>
      <w:r w:rsidDel="00000000" w:rsidR="00000000" w:rsidRPr="00000000">
        <w:rPr>
          <w:rFonts w:ascii="Times New Roman" w:cs="Times New Roman" w:eastAsia="Times New Roman" w:hAnsi="Times New Roman"/>
          <w:rtl w:val="0"/>
        </w:rPr>
        <w:t xml:space="preserve"> los Dummy representan el piso mínimo (equivalente al azar). La regla del dominio es una referencia exigente: resume el conocimiento previo incorporado en el puntaje de riesgo. Un modelo útil debería al menos igualarla sin utilizar esa variable.</w:t>
      </w:r>
    </w:p>
    <w:p w:rsidR="00000000" w:rsidDel="00000000" w:rsidP="00000000" w:rsidRDefault="00000000" w:rsidRPr="00000000" w14:paraId="000001E5">
      <w:pPr>
        <w:spacing w:after="240" w:before="240" w:lineRule="auto"/>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rtl w:val="0"/>
        </w:rPr>
        <w:t xml:space="preserve">8. Modelos Preliminares</w:t>
      </w:r>
      <w:r w:rsidDel="00000000" w:rsidR="00000000" w:rsidRPr="00000000">
        <w:rPr>
          <w:rtl w:val="0"/>
        </w:rPr>
      </w:r>
    </w:p>
    <w:p w:rsidR="00000000" w:rsidDel="00000000" w:rsidP="00000000" w:rsidRDefault="00000000" w:rsidRPr="00000000" w14:paraId="000001E6">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 compararon tres alternativas, todas con class_weight='balanced' para compensar el desbalance:</w:t>
      </w:r>
    </w:p>
    <w:p w:rsidR="00000000" w:rsidDel="00000000" w:rsidP="00000000" w:rsidRDefault="00000000" w:rsidRPr="00000000" w14:paraId="000001E7">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Regresión Logística:</w:t>
      </w:r>
      <w:r w:rsidDel="00000000" w:rsidR="00000000" w:rsidRPr="00000000">
        <w:rPr>
          <w:rFonts w:ascii="Times New Roman" w:cs="Times New Roman" w:eastAsia="Times New Roman" w:hAnsi="Times New Roman"/>
          <w:rtl w:val="0"/>
        </w:rPr>
        <w:t xml:space="preserve"> modelo lineal e interpretable (sus coeficientes son log-odds). Es adecuado si el efecto de los factores binarios es aditivo.</w:t>
      </w:r>
    </w:p>
    <w:p w:rsidR="00000000" w:rsidDel="00000000" w:rsidP="00000000" w:rsidRDefault="00000000" w:rsidRPr="00000000" w14:paraId="000001E8">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Random Forest</w:t>
      </w:r>
      <w:r w:rsidDel="00000000" w:rsidR="00000000" w:rsidRPr="00000000">
        <w:rPr>
          <w:rFonts w:ascii="Times New Roman" w:cs="Times New Roman" w:eastAsia="Times New Roman" w:hAnsi="Times New Roman"/>
          <w:rtl w:val="0"/>
        </w:rPr>
        <w:t xml:space="preserve"> (200 árboles, profundidad máxima 12, mínimo 20 muestras por hoja): captura interacciones y no linealidades sin necesidad de escalar.</w:t>
      </w:r>
    </w:p>
    <w:p w:rsidR="00000000" w:rsidDel="00000000" w:rsidP="00000000" w:rsidRDefault="00000000" w:rsidRPr="00000000" w14:paraId="000001E9">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HistGradientBoosting</w:t>
      </w:r>
      <w:r w:rsidDel="00000000" w:rsidR="00000000" w:rsidRPr="00000000">
        <w:rPr>
          <w:rFonts w:ascii="Times New Roman" w:cs="Times New Roman" w:eastAsia="Times New Roman" w:hAnsi="Times New Roman"/>
          <w:rtl w:val="0"/>
        </w:rPr>
        <w:t xml:space="preserve"> (200 iteraciones, learning rate 0.1): boosting basado en histogramas, eficiente con 150 mil registros.</w:t>
      </w:r>
    </w:p>
    <w:tbl>
      <w:tblPr>
        <w:tblStyle w:val="Table11"/>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25"/>
        <w:gridCol w:w="2325"/>
        <w:gridCol w:w="2325"/>
        <w:gridCol w:w="2325"/>
        <w:tblGridChange w:id="0">
          <w:tblGrid>
            <w:gridCol w:w="2325"/>
            <w:gridCol w:w="2325"/>
            <w:gridCol w:w="2325"/>
            <w:gridCol w:w="2325"/>
          </w:tblGrid>
        </w:tblGridChange>
      </w:tblGrid>
      <w:tr>
        <w:trPr>
          <w:cantSplit w:val="1"/>
          <w:tblHeader w:val="1"/>
        </w:trPr>
        <w:tc>
          <w:tcPr>
            <w:shd w:fill="1f3864" w:val="clear"/>
          </w:tcPr>
          <w:p w:rsidR="00000000" w:rsidDel="00000000" w:rsidP="00000000" w:rsidRDefault="00000000" w:rsidRPr="00000000" w14:paraId="000001E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Modelo</w:t>
            </w:r>
            <w:r w:rsidDel="00000000" w:rsidR="00000000" w:rsidRPr="00000000">
              <w:rPr>
                <w:rtl w:val="0"/>
              </w:rPr>
            </w:r>
          </w:p>
        </w:tc>
        <w:tc>
          <w:tcPr>
            <w:shd w:fill="1f3864" w:val="clear"/>
          </w:tcPr>
          <w:p w:rsidR="00000000" w:rsidDel="00000000" w:rsidP="00000000" w:rsidRDefault="00000000" w:rsidRPr="00000000" w14:paraId="000001E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ROC-AUC CV (media)</w:t>
            </w:r>
            <w:r w:rsidDel="00000000" w:rsidR="00000000" w:rsidRPr="00000000">
              <w:rPr>
                <w:rtl w:val="0"/>
              </w:rPr>
            </w:r>
          </w:p>
        </w:tc>
        <w:tc>
          <w:tcPr>
            <w:shd w:fill="1f3864" w:val="clear"/>
          </w:tcPr>
          <w:p w:rsidR="00000000" w:rsidDel="00000000" w:rsidP="00000000" w:rsidRDefault="00000000" w:rsidRPr="00000000" w14:paraId="000001E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Desv. estándar</w:t>
            </w:r>
            <w:r w:rsidDel="00000000" w:rsidR="00000000" w:rsidRPr="00000000">
              <w:rPr>
                <w:rtl w:val="0"/>
              </w:rPr>
            </w:r>
          </w:p>
        </w:tc>
        <w:tc>
          <w:tcPr>
            <w:shd w:fill="1f3864" w:val="clear"/>
          </w:tcPr>
          <w:p w:rsidR="00000000" w:rsidDel="00000000" w:rsidP="00000000" w:rsidRDefault="00000000" w:rsidRPr="00000000" w14:paraId="000001E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Tiempo (s)</w:t>
            </w:r>
            <w:r w:rsidDel="00000000" w:rsidR="00000000" w:rsidRPr="00000000">
              <w:rPr>
                <w:rtl w:val="0"/>
              </w:rPr>
            </w:r>
          </w:p>
        </w:tc>
      </w:tr>
      <w:tr>
        <w:trPr>
          <w:cantSplit w:val="1"/>
          <w:tblHeader w:val="0"/>
        </w:trPr>
        <w:tc>
          <w:tcPr/>
          <w:p w:rsidR="00000000" w:rsidDel="00000000" w:rsidP="00000000" w:rsidRDefault="00000000" w:rsidRPr="00000000" w14:paraId="000001E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Regresión Logística</w:t>
            </w:r>
          </w:p>
        </w:tc>
        <w:tc>
          <w:tcPr/>
          <w:p w:rsidR="00000000" w:rsidDel="00000000" w:rsidP="00000000" w:rsidRDefault="00000000" w:rsidRPr="00000000" w14:paraId="000001E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0.670</w:t>
            </w:r>
          </w:p>
        </w:tc>
        <w:tc>
          <w:tcPr/>
          <w:p w:rsidR="00000000" w:rsidDel="00000000" w:rsidP="00000000" w:rsidRDefault="00000000" w:rsidRPr="00000000" w14:paraId="000001F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0.003</w:t>
            </w:r>
          </w:p>
        </w:tc>
        <w:tc>
          <w:tcPr/>
          <w:p w:rsidR="00000000" w:rsidDel="00000000" w:rsidP="00000000" w:rsidRDefault="00000000" w:rsidRPr="00000000" w14:paraId="000001F1">
            <w:pPr>
              <w:spacing w:after="0" w:line="240" w:lineRule="auto"/>
              <w:rPr>
                <w:rFonts w:ascii="Times New Roman" w:cs="Times New Roman" w:eastAsia="Times New Roman" w:hAnsi="Times New Roman"/>
              </w:rPr>
            </w:pPr>
            <w:sdt>
              <w:sdtPr>
                <w:id w:val="95643712"/>
                <w:tag w:val="goog_rdk_11"/>
              </w:sdtPr>
              <w:sdtContent>
                <w:r w:rsidDel="00000000" w:rsidR="00000000" w:rsidRPr="00000000">
                  <w:rPr>
                    <w:rFonts w:ascii="Gungsuh" w:cs="Gungsuh" w:eastAsia="Gungsuh" w:hAnsi="Gungsuh"/>
                    <w:rtl w:val="0"/>
                  </w:rPr>
                  <w:t xml:space="preserve">≈ 5</w:t>
                </w:r>
              </w:sdtContent>
            </w:sdt>
          </w:p>
        </w:tc>
      </w:tr>
      <w:tr>
        <w:trPr>
          <w:cantSplit w:val="1"/>
          <w:tblHeader w:val="0"/>
        </w:trPr>
        <w:tc>
          <w:tcPr/>
          <w:p w:rsidR="00000000" w:rsidDel="00000000" w:rsidP="00000000" w:rsidRDefault="00000000" w:rsidRPr="00000000" w14:paraId="000001F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Random Forest</w:t>
            </w:r>
          </w:p>
        </w:tc>
        <w:tc>
          <w:tcPr/>
          <w:p w:rsidR="00000000" w:rsidDel="00000000" w:rsidP="00000000" w:rsidRDefault="00000000" w:rsidRPr="00000000" w14:paraId="000001F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0.696</w:t>
            </w:r>
          </w:p>
        </w:tc>
        <w:tc>
          <w:tcPr/>
          <w:p w:rsidR="00000000" w:rsidDel="00000000" w:rsidP="00000000" w:rsidRDefault="00000000" w:rsidRPr="00000000" w14:paraId="000001F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0.003</w:t>
            </w:r>
          </w:p>
        </w:tc>
        <w:tc>
          <w:tcPr/>
          <w:p w:rsidR="00000000" w:rsidDel="00000000" w:rsidP="00000000" w:rsidRDefault="00000000" w:rsidRPr="00000000" w14:paraId="000001F5">
            <w:pPr>
              <w:spacing w:after="0" w:line="240" w:lineRule="auto"/>
              <w:rPr>
                <w:rFonts w:ascii="Times New Roman" w:cs="Times New Roman" w:eastAsia="Times New Roman" w:hAnsi="Times New Roman"/>
              </w:rPr>
            </w:pPr>
            <w:sdt>
              <w:sdtPr>
                <w:id w:val="1420145459"/>
                <w:tag w:val="goog_rdk_12"/>
              </w:sdtPr>
              <w:sdtContent>
                <w:r w:rsidDel="00000000" w:rsidR="00000000" w:rsidRPr="00000000">
                  <w:rPr>
                    <w:rFonts w:ascii="Gungsuh" w:cs="Gungsuh" w:eastAsia="Gungsuh" w:hAnsi="Gungsuh"/>
                    <w:rtl w:val="0"/>
                  </w:rPr>
                  <w:t xml:space="preserve">≈ 72</w:t>
                </w:r>
              </w:sdtContent>
            </w:sdt>
          </w:p>
        </w:tc>
      </w:tr>
      <w:tr>
        <w:trPr>
          <w:cantSplit w:val="1"/>
          <w:tblHeader w:val="0"/>
        </w:trPr>
        <w:tc>
          <w:tcPr/>
          <w:p w:rsidR="00000000" w:rsidDel="00000000" w:rsidP="00000000" w:rsidRDefault="00000000" w:rsidRPr="00000000" w14:paraId="000001F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HistGradientBoosting</w:t>
            </w:r>
          </w:p>
        </w:tc>
        <w:tc>
          <w:tcPr/>
          <w:p w:rsidR="00000000" w:rsidDel="00000000" w:rsidP="00000000" w:rsidRDefault="00000000" w:rsidRPr="00000000" w14:paraId="000001F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0.695</w:t>
            </w:r>
          </w:p>
        </w:tc>
        <w:tc>
          <w:tcPr/>
          <w:p w:rsidR="00000000" w:rsidDel="00000000" w:rsidP="00000000" w:rsidRDefault="00000000" w:rsidRPr="00000000" w14:paraId="000001F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0.002</w:t>
            </w:r>
          </w:p>
        </w:tc>
        <w:tc>
          <w:tcPr/>
          <w:p w:rsidR="00000000" w:rsidDel="00000000" w:rsidP="00000000" w:rsidRDefault="00000000" w:rsidRPr="00000000" w14:paraId="000001F9">
            <w:pPr>
              <w:spacing w:after="0" w:line="240" w:lineRule="auto"/>
              <w:rPr>
                <w:rFonts w:ascii="Times New Roman" w:cs="Times New Roman" w:eastAsia="Times New Roman" w:hAnsi="Times New Roman"/>
              </w:rPr>
            </w:pPr>
            <w:sdt>
              <w:sdtPr>
                <w:id w:val="-694020293"/>
                <w:tag w:val="goog_rdk_13"/>
              </w:sdtPr>
              <w:sdtContent>
                <w:r w:rsidDel="00000000" w:rsidR="00000000" w:rsidRPr="00000000">
                  <w:rPr>
                    <w:rFonts w:ascii="Gungsuh" w:cs="Gungsuh" w:eastAsia="Gungsuh" w:hAnsi="Gungsuh"/>
                    <w:rtl w:val="0"/>
                  </w:rPr>
                  <w:t xml:space="preserve">≈ 15</w:t>
                </w:r>
              </w:sdtContent>
            </w:sdt>
          </w:p>
        </w:tc>
      </w:tr>
    </w:tbl>
    <w:p w:rsidR="00000000" w:rsidDel="00000000" w:rsidP="00000000" w:rsidRDefault="00000000" w:rsidRPr="00000000" w14:paraId="000001FA">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B">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 que muestran los datos:</w:t>
      </w:r>
      <w:sdt>
        <w:sdtPr>
          <w:id w:val="-1926956895"/>
          <w:tag w:val="goog_rdk_14"/>
        </w:sdtPr>
        <w:sdtContent>
          <w:r w:rsidDel="00000000" w:rsidR="00000000" w:rsidRPr="00000000">
            <w:rPr>
              <w:rFonts w:ascii="Gungsuh" w:cs="Gungsuh" w:eastAsia="Gungsuh" w:hAnsi="Gungsuh"/>
              <w:rtl w:val="0"/>
            </w:rPr>
            <w:t xml:space="preserve"> la desviación de ROC-AUC entre los 5 folds es muy baja (≤ 0.003), por lo que las diferencias observadas no dependen de una partición favorable. Los dos modelos de árboles superan a la Regresión Logística.</w:t>
          </w:r>
        </w:sdtContent>
      </w:sdt>
    </w:p>
    <w:p w:rsidR="00000000" w:rsidDel="00000000" w:rsidP="00000000" w:rsidRDefault="00000000" w:rsidRPr="00000000" w14:paraId="000001FC">
      <w:pPr>
        <w:spacing w:after="240" w:before="240" w:lineRule="auto"/>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rtl w:val="0"/>
        </w:rPr>
        <w:t xml:space="preserve">9. Evaluación Preliminar</w:t>
      </w:r>
      <w:r w:rsidDel="00000000" w:rsidR="00000000" w:rsidRPr="00000000">
        <w:rPr>
          <w:rtl w:val="0"/>
        </w:rPr>
      </w:r>
    </w:p>
    <w:p w:rsidR="00000000" w:rsidDel="00000000" w:rsidP="00000000" w:rsidRDefault="00000000" w:rsidRPr="00000000" w14:paraId="000001FD">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9.1 Métricas seleccionadas y justificación</w:t>
      </w:r>
      <w:r w:rsidDel="00000000" w:rsidR="00000000" w:rsidRPr="00000000">
        <w:rPr>
          <w:rtl w:val="0"/>
        </w:rPr>
      </w:r>
    </w:p>
    <w:p w:rsidR="00000000" w:rsidDel="00000000" w:rsidP="00000000" w:rsidRDefault="00000000" w:rsidRPr="00000000" w14:paraId="000001FE">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Recall de Malignant:</w:t>
      </w:r>
      <w:r w:rsidDel="00000000" w:rsidR="00000000" w:rsidRPr="00000000">
        <w:rPr>
          <w:rFonts w:ascii="Times New Roman" w:cs="Times New Roman" w:eastAsia="Times New Roman" w:hAnsi="Times New Roman"/>
          <w:rtl w:val="0"/>
        </w:rPr>
        <w:t xml:space="preserve"> en triaje oncológico un falso negativo (paciente maligno no detectado) es el error más costoso.</w:t>
      </w:r>
    </w:p>
    <w:p w:rsidR="00000000" w:rsidDel="00000000" w:rsidP="00000000" w:rsidRDefault="00000000" w:rsidRPr="00000000" w14:paraId="000001FF">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Precisión de Malignant:</w:t>
      </w:r>
      <w:r w:rsidDel="00000000" w:rsidR="00000000" w:rsidRPr="00000000">
        <w:rPr>
          <w:rFonts w:ascii="Times New Roman" w:cs="Times New Roman" w:eastAsia="Times New Roman" w:hAnsi="Times New Roman"/>
          <w:rtl w:val="0"/>
        </w:rPr>
        <w:t xml:space="preserve"> cada falso positivo implica estudios innecesarios (biopsias, ansiedad, costos).</w:t>
      </w:r>
    </w:p>
    <w:p w:rsidR="00000000" w:rsidDel="00000000" w:rsidP="00000000" w:rsidRDefault="00000000" w:rsidRPr="00000000" w14:paraId="00000200">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F1:</w:t>
      </w:r>
      <w:r w:rsidDel="00000000" w:rsidR="00000000" w:rsidRPr="00000000">
        <w:rPr>
          <w:rFonts w:ascii="Times New Roman" w:cs="Times New Roman" w:eastAsia="Times New Roman" w:hAnsi="Times New Roman"/>
          <w:rtl w:val="0"/>
        </w:rPr>
        <w:t xml:space="preserve"> resume el equilibrio entre recall y precisión.</w:t>
      </w:r>
    </w:p>
    <w:p w:rsidR="00000000" w:rsidDel="00000000" w:rsidP="00000000" w:rsidRDefault="00000000" w:rsidRPr="00000000" w14:paraId="00000201">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ROC-AUC:</w:t>
      </w:r>
      <w:r w:rsidDel="00000000" w:rsidR="00000000" w:rsidRPr="00000000">
        <w:rPr>
          <w:rFonts w:ascii="Times New Roman" w:cs="Times New Roman" w:eastAsia="Times New Roman" w:hAnsi="Times New Roman"/>
          <w:rtl w:val="0"/>
        </w:rPr>
        <w:t xml:space="preserve"> mide la capacidad de ordenar pacientes por riesgo, independientemente del umbral.</w:t>
      </w:r>
    </w:p>
    <w:p w:rsidR="00000000" w:rsidDel="00000000" w:rsidP="00000000" w:rsidRDefault="00000000" w:rsidRPr="00000000" w14:paraId="00000202">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PR-AUC:</w:t>
      </w:r>
      <w:r w:rsidDel="00000000" w:rsidR="00000000" w:rsidRPr="00000000">
        <w:rPr>
          <w:rFonts w:ascii="Times New Roman" w:cs="Times New Roman" w:eastAsia="Times New Roman" w:hAnsi="Times New Roman"/>
          <w:rtl w:val="0"/>
        </w:rPr>
        <w:t xml:space="preserve"> más informativa que ROC-AUC con clases desbalanceadas; su valor de referencia es la prevalencia (0.233).</w:t>
      </w:r>
    </w:p>
    <w:p w:rsidR="00000000" w:rsidDel="00000000" w:rsidP="00000000" w:rsidRDefault="00000000" w:rsidRPr="00000000" w14:paraId="00000203">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9.2 Resultados en el conjunto de validación</w:t>
      </w:r>
      <w:r w:rsidDel="00000000" w:rsidR="00000000" w:rsidRPr="00000000">
        <w:rPr>
          <w:rtl w:val="0"/>
        </w:rPr>
      </w:r>
    </w:p>
    <w:tbl>
      <w:tblPr>
        <w:tblStyle w:val="Table12"/>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800"/>
        <w:gridCol w:w="1000"/>
        <w:gridCol w:w="1100"/>
        <w:gridCol w:w="900"/>
        <w:gridCol w:w="1300"/>
        <w:gridCol w:w="1100"/>
        <w:gridCol w:w="1100"/>
        <w:tblGridChange w:id="0">
          <w:tblGrid>
            <w:gridCol w:w="2800"/>
            <w:gridCol w:w="1000"/>
            <w:gridCol w:w="1100"/>
            <w:gridCol w:w="900"/>
            <w:gridCol w:w="1300"/>
            <w:gridCol w:w="1100"/>
            <w:gridCol w:w="1100"/>
          </w:tblGrid>
        </w:tblGridChange>
      </w:tblGrid>
      <w:tr>
        <w:trPr>
          <w:cantSplit w:val="1"/>
          <w:tblHeader w:val="1"/>
        </w:trPr>
        <w:tc>
          <w:tcPr>
            <w:shd w:fill="1f3864" w:val="clear"/>
          </w:tcPr>
          <w:p w:rsidR="00000000" w:rsidDel="00000000" w:rsidP="00000000" w:rsidRDefault="00000000" w:rsidRPr="00000000" w14:paraId="0000020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Modelo</w:t>
            </w:r>
            <w:r w:rsidDel="00000000" w:rsidR="00000000" w:rsidRPr="00000000">
              <w:rPr>
                <w:rtl w:val="0"/>
              </w:rPr>
            </w:r>
          </w:p>
        </w:tc>
        <w:tc>
          <w:tcPr>
            <w:shd w:fill="1f3864" w:val="clear"/>
          </w:tcPr>
          <w:p w:rsidR="00000000" w:rsidDel="00000000" w:rsidP="00000000" w:rsidRDefault="00000000" w:rsidRPr="00000000" w14:paraId="0000020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Recall</w:t>
            </w:r>
            <w:r w:rsidDel="00000000" w:rsidR="00000000" w:rsidRPr="00000000">
              <w:rPr>
                <w:rtl w:val="0"/>
              </w:rPr>
            </w:r>
          </w:p>
        </w:tc>
        <w:tc>
          <w:tcPr>
            <w:shd w:fill="1f3864" w:val="clear"/>
          </w:tcPr>
          <w:p w:rsidR="00000000" w:rsidDel="00000000" w:rsidP="00000000" w:rsidRDefault="00000000" w:rsidRPr="00000000" w14:paraId="0000020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Precisión</w:t>
            </w:r>
            <w:r w:rsidDel="00000000" w:rsidR="00000000" w:rsidRPr="00000000">
              <w:rPr>
                <w:rtl w:val="0"/>
              </w:rPr>
            </w:r>
          </w:p>
        </w:tc>
        <w:tc>
          <w:tcPr>
            <w:shd w:fill="1f3864" w:val="clear"/>
          </w:tcPr>
          <w:p w:rsidR="00000000" w:rsidDel="00000000" w:rsidP="00000000" w:rsidRDefault="00000000" w:rsidRPr="00000000" w14:paraId="0000020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F1</w:t>
            </w:r>
            <w:r w:rsidDel="00000000" w:rsidR="00000000" w:rsidRPr="00000000">
              <w:rPr>
                <w:rtl w:val="0"/>
              </w:rPr>
            </w:r>
          </w:p>
        </w:tc>
        <w:tc>
          <w:tcPr>
            <w:shd w:fill="1f3864" w:val="clear"/>
          </w:tcPr>
          <w:p w:rsidR="00000000" w:rsidDel="00000000" w:rsidP="00000000" w:rsidRDefault="00000000" w:rsidRPr="00000000" w14:paraId="0000020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Especificidad</w:t>
            </w:r>
            <w:r w:rsidDel="00000000" w:rsidR="00000000" w:rsidRPr="00000000">
              <w:rPr>
                <w:rtl w:val="0"/>
              </w:rPr>
            </w:r>
          </w:p>
        </w:tc>
        <w:tc>
          <w:tcPr>
            <w:shd w:fill="1f3864" w:val="clear"/>
          </w:tcPr>
          <w:p w:rsidR="00000000" w:rsidDel="00000000" w:rsidP="00000000" w:rsidRDefault="00000000" w:rsidRPr="00000000" w14:paraId="0000020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ROC-AUC</w:t>
            </w:r>
            <w:r w:rsidDel="00000000" w:rsidR="00000000" w:rsidRPr="00000000">
              <w:rPr>
                <w:rtl w:val="0"/>
              </w:rPr>
            </w:r>
          </w:p>
        </w:tc>
        <w:tc>
          <w:tcPr>
            <w:shd w:fill="1f3864" w:val="clear"/>
          </w:tcPr>
          <w:p w:rsidR="00000000" w:rsidDel="00000000" w:rsidP="00000000" w:rsidRDefault="00000000" w:rsidRPr="00000000" w14:paraId="000002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PR-AUC</w:t>
            </w:r>
            <w:r w:rsidDel="00000000" w:rsidR="00000000" w:rsidRPr="00000000">
              <w:rPr>
                <w:rtl w:val="0"/>
              </w:rPr>
            </w:r>
          </w:p>
        </w:tc>
      </w:tr>
      <w:tr>
        <w:trPr>
          <w:cantSplit w:val="1"/>
          <w:tblHeader w:val="0"/>
        </w:trPr>
        <w:tc>
          <w:tcPr/>
          <w:p w:rsidR="00000000" w:rsidDel="00000000" w:rsidP="00000000" w:rsidRDefault="00000000" w:rsidRPr="00000000" w14:paraId="0000020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Dummy estratificado</w:t>
            </w:r>
          </w:p>
        </w:tc>
        <w:tc>
          <w:tcPr/>
          <w:p w:rsidR="00000000" w:rsidDel="00000000" w:rsidP="00000000" w:rsidRDefault="00000000" w:rsidRPr="00000000" w14:paraId="0000020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0.226</w:t>
            </w:r>
          </w:p>
        </w:tc>
        <w:tc>
          <w:tcPr/>
          <w:p w:rsidR="00000000" w:rsidDel="00000000" w:rsidP="00000000" w:rsidRDefault="00000000" w:rsidRPr="00000000" w14:paraId="0000020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0.227</w:t>
            </w:r>
          </w:p>
        </w:tc>
        <w:tc>
          <w:tcPr/>
          <w:p w:rsidR="00000000" w:rsidDel="00000000" w:rsidP="00000000" w:rsidRDefault="00000000" w:rsidRPr="00000000" w14:paraId="0000020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0.227</w:t>
            </w:r>
          </w:p>
        </w:tc>
        <w:tc>
          <w:tcPr/>
          <w:p w:rsidR="00000000" w:rsidDel="00000000" w:rsidP="00000000" w:rsidRDefault="00000000" w:rsidRPr="00000000" w14:paraId="0000020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0.767</w:t>
            </w:r>
          </w:p>
        </w:tc>
        <w:tc>
          <w:tcPr/>
          <w:p w:rsidR="00000000" w:rsidDel="00000000" w:rsidP="00000000" w:rsidRDefault="00000000" w:rsidRPr="00000000" w14:paraId="0000021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0.496</w:t>
            </w:r>
          </w:p>
        </w:tc>
        <w:tc>
          <w:tcPr/>
          <w:p w:rsidR="00000000" w:rsidDel="00000000" w:rsidP="00000000" w:rsidRDefault="00000000" w:rsidRPr="00000000" w14:paraId="0000021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0.231</w:t>
            </w:r>
          </w:p>
        </w:tc>
      </w:tr>
      <w:tr>
        <w:trPr>
          <w:cantSplit w:val="1"/>
          <w:tblHeader w:val="0"/>
        </w:trPr>
        <w:tc>
          <w:tcPr/>
          <w:p w:rsidR="00000000" w:rsidDel="00000000" w:rsidP="00000000" w:rsidRDefault="00000000" w:rsidRPr="00000000" w14:paraId="0000021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Regla dominio (Risk = High)</w:t>
            </w:r>
          </w:p>
        </w:tc>
        <w:tc>
          <w:tcPr/>
          <w:p w:rsidR="00000000" w:rsidDel="00000000" w:rsidP="00000000" w:rsidRDefault="00000000" w:rsidRPr="00000000" w14:paraId="0000021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0.453</w:t>
            </w:r>
          </w:p>
        </w:tc>
        <w:tc>
          <w:tcPr/>
          <w:p w:rsidR="00000000" w:rsidDel="00000000" w:rsidP="00000000" w:rsidRDefault="00000000" w:rsidRPr="00000000" w14:paraId="0000021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0.701</w:t>
            </w:r>
          </w:p>
        </w:tc>
        <w:tc>
          <w:tcPr/>
          <w:p w:rsidR="00000000" w:rsidDel="00000000" w:rsidP="00000000" w:rsidRDefault="00000000" w:rsidRPr="00000000" w14:paraId="0000021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0.550</w:t>
            </w:r>
          </w:p>
        </w:tc>
        <w:tc>
          <w:tcPr/>
          <w:p w:rsidR="00000000" w:rsidDel="00000000" w:rsidP="00000000" w:rsidRDefault="00000000" w:rsidRPr="00000000" w14:paraId="0000021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0.941</w:t>
            </w:r>
          </w:p>
        </w:tc>
        <w:tc>
          <w:tcPr/>
          <w:p w:rsidR="00000000" w:rsidDel="00000000" w:rsidP="00000000" w:rsidRDefault="00000000" w:rsidRPr="00000000" w14:paraId="0000021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0.701</w:t>
            </w:r>
          </w:p>
        </w:tc>
        <w:tc>
          <w:tcPr/>
          <w:p w:rsidR="00000000" w:rsidDel="00000000" w:rsidP="00000000" w:rsidRDefault="00000000" w:rsidRPr="00000000" w14:paraId="0000021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0.465</w:t>
            </w:r>
          </w:p>
        </w:tc>
      </w:tr>
      <w:tr>
        <w:trPr>
          <w:cantSplit w:val="1"/>
          <w:tblHeader w:val="0"/>
        </w:trPr>
        <w:tc>
          <w:tcPr/>
          <w:p w:rsidR="00000000" w:rsidDel="00000000" w:rsidP="00000000" w:rsidRDefault="00000000" w:rsidRPr="00000000" w14:paraId="0000021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Regresión Logística</w:t>
            </w:r>
          </w:p>
        </w:tc>
        <w:tc>
          <w:tcPr/>
          <w:p w:rsidR="00000000" w:rsidDel="00000000" w:rsidP="00000000" w:rsidRDefault="00000000" w:rsidRPr="00000000" w14:paraId="0000021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0.615</w:t>
            </w:r>
          </w:p>
        </w:tc>
        <w:tc>
          <w:tcPr/>
          <w:p w:rsidR="00000000" w:rsidDel="00000000" w:rsidP="00000000" w:rsidRDefault="00000000" w:rsidRPr="00000000" w14:paraId="0000021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0.352</w:t>
            </w:r>
          </w:p>
        </w:tc>
        <w:tc>
          <w:tcPr/>
          <w:p w:rsidR="00000000" w:rsidDel="00000000" w:rsidP="00000000" w:rsidRDefault="00000000" w:rsidRPr="00000000" w14:paraId="0000021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0.448</w:t>
            </w:r>
          </w:p>
        </w:tc>
        <w:tc>
          <w:tcPr/>
          <w:p w:rsidR="00000000" w:rsidDel="00000000" w:rsidP="00000000" w:rsidRDefault="00000000" w:rsidRPr="00000000" w14:paraId="0000021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0.657</w:t>
            </w:r>
          </w:p>
        </w:tc>
        <w:tc>
          <w:tcPr/>
          <w:p w:rsidR="00000000" w:rsidDel="00000000" w:rsidP="00000000" w:rsidRDefault="00000000" w:rsidRPr="00000000" w14:paraId="0000021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0.670</w:t>
            </w:r>
          </w:p>
        </w:tc>
        <w:tc>
          <w:tcPr/>
          <w:p w:rsidR="00000000" w:rsidDel="00000000" w:rsidP="00000000" w:rsidRDefault="00000000" w:rsidRPr="00000000" w14:paraId="0000021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0.435</w:t>
            </w:r>
          </w:p>
        </w:tc>
      </w:tr>
      <w:tr>
        <w:trPr>
          <w:cantSplit w:val="1"/>
          <w:tblHeader w:val="0"/>
        </w:trPr>
        <w:tc>
          <w:tcPr/>
          <w:p w:rsidR="00000000" w:rsidDel="00000000" w:rsidP="00000000" w:rsidRDefault="00000000" w:rsidRPr="00000000" w14:paraId="0000022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Random Forest</w:t>
            </w:r>
          </w:p>
        </w:tc>
        <w:tc>
          <w:tcPr/>
          <w:p w:rsidR="00000000" w:rsidDel="00000000" w:rsidP="00000000" w:rsidRDefault="00000000" w:rsidRPr="00000000" w14:paraId="0000022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0.453</w:t>
            </w:r>
          </w:p>
        </w:tc>
        <w:tc>
          <w:tcPr/>
          <w:p w:rsidR="00000000" w:rsidDel="00000000" w:rsidP="00000000" w:rsidRDefault="00000000" w:rsidRPr="00000000" w14:paraId="0000022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0.700</w:t>
            </w:r>
          </w:p>
        </w:tc>
        <w:tc>
          <w:tcPr/>
          <w:p w:rsidR="00000000" w:rsidDel="00000000" w:rsidP="00000000" w:rsidRDefault="00000000" w:rsidRPr="00000000" w14:paraId="0000022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0.550</w:t>
            </w:r>
          </w:p>
        </w:tc>
        <w:tc>
          <w:tcPr/>
          <w:p w:rsidR="00000000" w:rsidDel="00000000" w:rsidP="00000000" w:rsidRDefault="00000000" w:rsidRPr="00000000" w14:paraId="0000022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0.941</w:t>
            </w:r>
          </w:p>
        </w:tc>
        <w:tc>
          <w:tcPr/>
          <w:p w:rsidR="00000000" w:rsidDel="00000000" w:rsidP="00000000" w:rsidRDefault="00000000" w:rsidRPr="00000000" w14:paraId="0000022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0.697</w:t>
            </w:r>
          </w:p>
        </w:tc>
        <w:tc>
          <w:tcPr/>
          <w:p w:rsidR="00000000" w:rsidDel="00000000" w:rsidP="00000000" w:rsidRDefault="00000000" w:rsidRPr="00000000" w14:paraId="0000022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0.499</w:t>
            </w:r>
          </w:p>
        </w:tc>
      </w:tr>
      <w:tr>
        <w:trPr>
          <w:cantSplit w:val="1"/>
          <w:tblHeader w:val="0"/>
        </w:trPr>
        <w:tc>
          <w:tcPr/>
          <w:p w:rsidR="00000000" w:rsidDel="00000000" w:rsidP="00000000" w:rsidRDefault="00000000" w:rsidRPr="00000000" w14:paraId="0000022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HistGradientBoosting</w:t>
            </w:r>
            <w:r w:rsidDel="00000000" w:rsidR="00000000" w:rsidRPr="00000000">
              <w:rPr>
                <w:rtl w:val="0"/>
              </w:rPr>
            </w:r>
          </w:p>
        </w:tc>
        <w:tc>
          <w:tcPr/>
          <w:p w:rsidR="00000000" w:rsidDel="00000000" w:rsidP="00000000" w:rsidRDefault="00000000" w:rsidRPr="00000000" w14:paraId="0000022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0.453</w:t>
            </w:r>
            <w:r w:rsidDel="00000000" w:rsidR="00000000" w:rsidRPr="00000000">
              <w:rPr>
                <w:rtl w:val="0"/>
              </w:rPr>
            </w:r>
          </w:p>
        </w:tc>
        <w:tc>
          <w:tcPr/>
          <w:p w:rsidR="00000000" w:rsidDel="00000000" w:rsidP="00000000" w:rsidRDefault="00000000" w:rsidRPr="00000000" w14:paraId="0000022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0.700</w:t>
            </w:r>
            <w:r w:rsidDel="00000000" w:rsidR="00000000" w:rsidRPr="00000000">
              <w:rPr>
                <w:rtl w:val="0"/>
              </w:rPr>
            </w:r>
          </w:p>
        </w:tc>
        <w:tc>
          <w:tcPr/>
          <w:p w:rsidR="00000000" w:rsidDel="00000000" w:rsidP="00000000" w:rsidRDefault="00000000" w:rsidRPr="00000000" w14:paraId="0000022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0.550</w:t>
            </w:r>
            <w:r w:rsidDel="00000000" w:rsidR="00000000" w:rsidRPr="00000000">
              <w:rPr>
                <w:rtl w:val="0"/>
              </w:rPr>
            </w:r>
          </w:p>
        </w:tc>
        <w:tc>
          <w:tcPr/>
          <w:p w:rsidR="00000000" w:rsidDel="00000000" w:rsidP="00000000" w:rsidRDefault="00000000" w:rsidRPr="00000000" w14:paraId="0000022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0.941</w:t>
            </w:r>
            <w:r w:rsidDel="00000000" w:rsidR="00000000" w:rsidRPr="00000000">
              <w:rPr>
                <w:rtl w:val="0"/>
              </w:rPr>
            </w:r>
          </w:p>
        </w:tc>
        <w:tc>
          <w:tcPr/>
          <w:p w:rsidR="00000000" w:rsidDel="00000000" w:rsidP="00000000" w:rsidRDefault="00000000" w:rsidRPr="00000000" w14:paraId="0000022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0.700</w:t>
            </w:r>
            <w:r w:rsidDel="00000000" w:rsidR="00000000" w:rsidRPr="00000000">
              <w:rPr>
                <w:rtl w:val="0"/>
              </w:rPr>
            </w:r>
          </w:p>
        </w:tc>
        <w:tc>
          <w:tcPr/>
          <w:p w:rsidR="00000000" w:rsidDel="00000000" w:rsidP="00000000" w:rsidRDefault="00000000" w:rsidRPr="00000000" w14:paraId="0000022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0.500</w:t>
            </w:r>
            <w:r w:rsidDel="00000000" w:rsidR="00000000" w:rsidRPr="00000000">
              <w:rPr>
                <w:rtl w:val="0"/>
              </w:rPr>
            </w:r>
          </w:p>
        </w:tc>
      </w:tr>
    </w:tbl>
    <w:p w:rsidR="00000000" w:rsidDel="00000000" w:rsidP="00000000" w:rsidRDefault="00000000" w:rsidRPr="00000000" w14:paraId="0000022E">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F">
      <w:pPr>
        <w:keepNext w:val="1"/>
        <w:spacing w:after="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852160" cy="2529752"/>
            <wp:effectExtent b="0" l="0" r="0" t="0"/>
            <wp:docPr id="113"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852160" cy="2529752"/>
                    </a:xfrm>
                    <a:prstGeom prst="rect"/>
                    <a:ln/>
                  </pic:spPr>
                </pic:pic>
              </a:graphicData>
            </a:graphic>
          </wp:inline>
        </w:drawing>
      </w:r>
      <w:r w:rsidDel="00000000" w:rsidR="00000000" w:rsidRPr="00000000">
        <w:rPr>
          <w:rtl w:val="0"/>
        </w:rPr>
      </w:r>
    </w:p>
    <w:p w:rsidR="00000000" w:rsidDel="00000000" w:rsidP="00000000" w:rsidRDefault="00000000" w:rsidRPr="00000000" w14:paraId="00000230">
      <w:pPr>
        <w:spacing w:after="16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Figura 8. Curvas ROC y Precisión–Recall de los modelos en validación.</w:t>
      </w:r>
      <w:r w:rsidDel="00000000" w:rsidR="00000000" w:rsidRPr="00000000">
        <w:rPr>
          <w:rtl w:val="0"/>
        </w:rPr>
      </w:r>
    </w:p>
    <w:p w:rsidR="00000000" w:rsidDel="00000000" w:rsidP="00000000" w:rsidRDefault="00000000" w:rsidRPr="00000000" w14:paraId="00000231">
      <w:pPr>
        <w:keepNext w:val="1"/>
        <w:spacing w:after="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5852160" cy="2070523"/>
            <wp:effectExtent b="0" l="0" r="0" t="0"/>
            <wp:docPr id="116"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5852160" cy="2070523"/>
                    </a:xfrm>
                    <a:prstGeom prst="rect"/>
                    <a:ln/>
                  </pic:spPr>
                </pic:pic>
              </a:graphicData>
            </a:graphic>
          </wp:inline>
        </w:drawing>
      </w:r>
      <w:r w:rsidDel="00000000" w:rsidR="00000000" w:rsidRPr="00000000">
        <w:rPr>
          <w:rtl w:val="0"/>
        </w:rPr>
      </w:r>
    </w:p>
    <w:p w:rsidR="00000000" w:rsidDel="00000000" w:rsidP="00000000" w:rsidRDefault="00000000" w:rsidRPr="00000000" w14:paraId="00000232">
      <w:pPr>
        <w:spacing w:after="16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Figura 9. Matrices de confusión en validación (umbral 0.5).</w:t>
      </w:r>
      <w:r w:rsidDel="00000000" w:rsidR="00000000" w:rsidRPr="00000000">
        <w:rPr>
          <w:rtl w:val="0"/>
        </w:rPr>
      </w:r>
    </w:p>
    <w:p w:rsidR="00000000" w:rsidDel="00000000" w:rsidP="00000000" w:rsidRDefault="00000000" w:rsidRPr="00000000" w14:paraId="00000233">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9.3 Análisis del umbral de decisión (HistGradientBoosting)</w:t>
      </w:r>
      <w:r w:rsidDel="00000000" w:rsidR="00000000" w:rsidRPr="00000000">
        <w:rPr>
          <w:rtl w:val="0"/>
        </w:rPr>
      </w:r>
    </w:p>
    <w:tbl>
      <w:tblPr>
        <w:tblStyle w:val="Table13"/>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25"/>
        <w:gridCol w:w="2325"/>
        <w:gridCol w:w="2325"/>
        <w:gridCol w:w="2325"/>
        <w:tblGridChange w:id="0">
          <w:tblGrid>
            <w:gridCol w:w="2325"/>
            <w:gridCol w:w="2325"/>
            <w:gridCol w:w="2325"/>
            <w:gridCol w:w="2325"/>
          </w:tblGrid>
        </w:tblGridChange>
      </w:tblGrid>
      <w:tr>
        <w:trPr>
          <w:cantSplit w:val="1"/>
          <w:tblHeader w:val="1"/>
        </w:trPr>
        <w:tc>
          <w:tcPr>
            <w:shd w:fill="1f3864" w:val="clear"/>
          </w:tcPr>
          <w:p w:rsidR="00000000" w:rsidDel="00000000" w:rsidP="00000000" w:rsidRDefault="00000000" w:rsidRPr="00000000" w14:paraId="0000023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Recall objetivo</w:t>
            </w:r>
            <w:r w:rsidDel="00000000" w:rsidR="00000000" w:rsidRPr="00000000">
              <w:rPr>
                <w:rtl w:val="0"/>
              </w:rPr>
            </w:r>
          </w:p>
        </w:tc>
        <w:tc>
          <w:tcPr>
            <w:shd w:fill="1f3864" w:val="clear"/>
          </w:tcPr>
          <w:p w:rsidR="00000000" w:rsidDel="00000000" w:rsidP="00000000" w:rsidRDefault="00000000" w:rsidRPr="00000000" w14:paraId="0000023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Umbral</w:t>
            </w:r>
            <w:r w:rsidDel="00000000" w:rsidR="00000000" w:rsidRPr="00000000">
              <w:rPr>
                <w:rtl w:val="0"/>
              </w:rPr>
            </w:r>
          </w:p>
        </w:tc>
        <w:tc>
          <w:tcPr>
            <w:shd w:fill="1f3864" w:val="clear"/>
          </w:tcPr>
          <w:p w:rsidR="00000000" w:rsidDel="00000000" w:rsidP="00000000" w:rsidRDefault="00000000" w:rsidRPr="00000000" w14:paraId="0000023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Precisión</w:t>
            </w:r>
            <w:r w:rsidDel="00000000" w:rsidR="00000000" w:rsidRPr="00000000">
              <w:rPr>
                <w:rtl w:val="0"/>
              </w:rPr>
            </w:r>
          </w:p>
        </w:tc>
        <w:tc>
          <w:tcPr>
            <w:shd w:fill="1f3864" w:val="clear"/>
          </w:tcPr>
          <w:p w:rsidR="00000000" w:rsidDel="00000000" w:rsidP="00000000" w:rsidRDefault="00000000" w:rsidRPr="00000000" w14:paraId="0000023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 de pacientes marcados como positivos</w:t>
            </w:r>
            <w:r w:rsidDel="00000000" w:rsidR="00000000" w:rsidRPr="00000000">
              <w:rPr>
                <w:rtl w:val="0"/>
              </w:rPr>
            </w:r>
          </w:p>
        </w:tc>
      </w:tr>
      <w:tr>
        <w:trPr>
          <w:cantSplit w:val="1"/>
          <w:tblHeader w:val="0"/>
        </w:trPr>
        <w:tc>
          <w:tcPr/>
          <w:p w:rsidR="00000000" w:rsidDel="00000000" w:rsidP="00000000" w:rsidRDefault="00000000" w:rsidRPr="00000000" w14:paraId="0000023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0.45</w:t>
            </w:r>
          </w:p>
        </w:tc>
        <w:tc>
          <w:tcPr/>
          <w:p w:rsidR="00000000" w:rsidDel="00000000" w:rsidP="00000000" w:rsidRDefault="00000000" w:rsidRPr="00000000" w14:paraId="0000023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0.836</w:t>
            </w:r>
          </w:p>
        </w:tc>
        <w:tc>
          <w:tcPr/>
          <w:p w:rsidR="00000000" w:rsidDel="00000000" w:rsidP="00000000" w:rsidRDefault="00000000" w:rsidRPr="00000000" w14:paraId="0000023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0.701</w:t>
            </w:r>
          </w:p>
        </w:tc>
        <w:tc>
          <w:tcPr/>
          <w:p w:rsidR="00000000" w:rsidDel="00000000" w:rsidP="00000000" w:rsidRDefault="00000000" w:rsidRPr="00000000" w14:paraId="0000023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14.9 %</w:t>
            </w:r>
          </w:p>
        </w:tc>
      </w:tr>
      <w:tr>
        <w:trPr>
          <w:cantSplit w:val="1"/>
          <w:tblHeader w:val="0"/>
        </w:trPr>
        <w:tc>
          <w:tcPr/>
          <w:p w:rsidR="00000000" w:rsidDel="00000000" w:rsidP="00000000" w:rsidRDefault="00000000" w:rsidRPr="00000000" w14:paraId="0000023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0.60</w:t>
            </w:r>
          </w:p>
        </w:tc>
        <w:tc>
          <w:tcPr/>
          <w:p w:rsidR="00000000" w:rsidDel="00000000" w:rsidP="00000000" w:rsidRDefault="00000000" w:rsidRPr="00000000" w14:paraId="0000023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0.378</w:t>
            </w:r>
          </w:p>
        </w:tc>
        <w:tc>
          <w:tcPr/>
          <w:p w:rsidR="00000000" w:rsidDel="00000000" w:rsidP="00000000" w:rsidRDefault="00000000" w:rsidRPr="00000000" w14:paraId="0000023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0.377</w:t>
            </w:r>
          </w:p>
        </w:tc>
        <w:tc>
          <w:tcPr/>
          <w:p w:rsidR="00000000" w:rsidDel="00000000" w:rsidP="00000000" w:rsidRDefault="00000000" w:rsidRPr="00000000" w14:paraId="0000023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37.0 %</w:t>
            </w:r>
          </w:p>
        </w:tc>
      </w:tr>
      <w:tr>
        <w:trPr>
          <w:cantSplit w:val="1"/>
          <w:tblHeader w:val="0"/>
        </w:trPr>
        <w:tc>
          <w:tcPr/>
          <w:p w:rsidR="00000000" w:rsidDel="00000000" w:rsidP="00000000" w:rsidRDefault="00000000" w:rsidRPr="00000000" w14:paraId="0000024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0.80</w:t>
            </w:r>
          </w:p>
        </w:tc>
        <w:tc>
          <w:tcPr/>
          <w:p w:rsidR="00000000" w:rsidDel="00000000" w:rsidP="00000000" w:rsidRDefault="00000000" w:rsidRPr="00000000" w14:paraId="0000024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0.368</w:t>
            </w:r>
          </w:p>
        </w:tc>
        <w:tc>
          <w:tcPr/>
          <w:p w:rsidR="00000000" w:rsidDel="00000000" w:rsidP="00000000" w:rsidRDefault="00000000" w:rsidRPr="00000000" w14:paraId="0000024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0.272</w:t>
            </w:r>
          </w:p>
        </w:tc>
        <w:tc>
          <w:tcPr/>
          <w:p w:rsidR="00000000" w:rsidDel="00000000" w:rsidP="00000000" w:rsidRDefault="00000000" w:rsidRPr="00000000" w14:paraId="0000024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68.4 %</w:t>
            </w:r>
          </w:p>
        </w:tc>
      </w:tr>
      <w:tr>
        <w:trPr>
          <w:cantSplit w:val="1"/>
          <w:tblHeader w:val="0"/>
        </w:trPr>
        <w:tc>
          <w:tcPr/>
          <w:p w:rsidR="00000000" w:rsidDel="00000000" w:rsidP="00000000" w:rsidRDefault="00000000" w:rsidRPr="00000000" w14:paraId="0000024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0.90</w:t>
            </w:r>
          </w:p>
        </w:tc>
        <w:tc>
          <w:tcPr/>
          <w:p w:rsidR="00000000" w:rsidDel="00000000" w:rsidP="00000000" w:rsidRDefault="00000000" w:rsidRPr="00000000" w14:paraId="0000024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0.361</w:t>
            </w:r>
          </w:p>
        </w:tc>
        <w:tc>
          <w:tcPr/>
          <w:p w:rsidR="00000000" w:rsidDel="00000000" w:rsidP="00000000" w:rsidRDefault="00000000" w:rsidRPr="00000000" w14:paraId="0000024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0.249</w:t>
            </w:r>
          </w:p>
        </w:tc>
        <w:tc>
          <w:tcPr/>
          <w:p w:rsidR="00000000" w:rsidDel="00000000" w:rsidP="00000000" w:rsidRDefault="00000000" w:rsidRPr="00000000" w14:paraId="0000024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84.2 %</w:t>
            </w:r>
          </w:p>
        </w:tc>
      </w:tr>
      <w:tr>
        <w:trPr>
          <w:cantSplit w:val="1"/>
          <w:tblHeader w:val="0"/>
        </w:trPr>
        <w:tc>
          <w:tcPr/>
          <w:p w:rsidR="00000000" w:rsidDel="00000000" w:rsidP="00000000" w:rsidRDefault="00000000" w:rsidRPr="00000000" w14:paraId="0000024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0.95</w:t>
            </w:r>
          </w:p>
        </w:tc>
        <w:tc>
          <w:tcPr/>
          <w:p w:rsidR="00000000" w:rsidDel="00000000" w:rsidP="00000000" w:rsidRDefault="00000000" w:rsidRPr="00000000" w14:paraId="0000024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0.351</w:t>
            </w:r>
          </w:p>
        </w:tc>
        <w:tc>
          <w:tcPr/>
          <w:p w:rsidR="00000000" w:rsidDel="00000000" w:rsidP="00000000" w:rsidRDefault="00000000" w:rsidRPr="00000000" w14:paraId="0000024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0.240</w:t>
            </w:r>
          </w:p>
        </w:tc>
        <w:tc>
          <w:tcPr/>
          <w:p w:rsidR="00000000" w:rsidDel="00000000" w:rsidP="00000000" w:rsidRDefault="00000000" w:rsidRPr="00000000" w14:paraId="0000024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92.2 %</w:t>
            </w:r>
          </w:p>
        </w:tc>
      </w:tr>
    </w:tbl>
    <w:p w:rsidR="00000000" w:rsidDel="00000000" w:rsidP="00000000" w:rsidRDefault="00000000" w:rsidRPr="00000000" w14:paraId="0000024C">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D">
      <w:pPr>
        <w:keepNext w:val="1"/>
        <w:spacing w:after="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754880" cy="2598295"/>
            <wp:effectExtent b="0" l="0" r="0" t="0"/>
            <wp:docPr id="115"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4754880" cy="2598295"/>
                    </a:xfrm>
                    <a:prstGeom prst="rect"/>
                    <a:ln/>
                  </pic:spPr>
                </pic:pic>
              </a:graphicData>
            </a:graphic>
          </wp:inline>
        </w:drawing>
      </w:r>
      <w:r w:rsidDel="00000000" w:rsidR="00000000" w:rsidRPr="00000000">
        <w:rPr>
          <w:rtl w:val="0"/>
        </w:rPr>
      </w:r>
    </w:p>
    <w:p w:rsidR="00000000" w:rsidDel="00000000" w:rsidP="00000000" w:rsidRDefault="00000000" w:rsidRPr="00000000" w14:paraId="0000024E">
      <w:pPr>
        <w:spacing w:after="160" w:before="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Figura 10. Coeficientes de mayor magnitud de la Regresión Logística.</w:t>
      </w:r>
      <w:r w:rsidDel="00000000" w:rsidR="00000000" w:rsidRPr="00000000">
        <w:rPr>
          <w:rtl w:val="0"/>
        </w:rPr>
      </w:r>
    </w:p>
    <w:p w:rsidR="00000000" w:rsidDel="00000000" w:rsidP="00000000" w:rsidRDefault="00000000" w:rsidRPr="00000000" w14:paraId="0000024F">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9.4 Interpretación de los resultados</w:t>
      </w:r>
      <w:r w:rsidDel="00000000" w:rsidR="00000000" w:rsidRPr="00000000">
        <w:rPr>
          <w:rtl w:val="0"/>
        </w:rPr>
      </w:r>
    </w:p>
    <w:p w:rsidR="00000000" w:rsidDel="00000000" w:rsidP="00000000" w:rsidRDefault="00000000" w:rsidRPr="00000000" w14:paraId="00000250">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Lo que muestran los datos:</w:t>
      </w:r>
      <w:sdt>
        <w:sdtPr>
          <w:id w:val="1150063584"/>
          <w:tag w:val="goog_rdk_15"/>
        </w:sdtPr>
        <w:sdtContent>
          <w:r w:rsidDel="00000000" w:rsidR="00000000" w:rsidRPr="00000000">
            <w:rPr>
              <w:rFonts w:ascii="Gungsuh" w:cs="Gungsuh" w:eastAsia="Gungsuh" w:hAnsi="Gungsuh"/>
              <w:rtl w:val="0"/>
            </w:rPr>
            <w:t xml:space="preserve"> HistGradientBoosting y Random Forest alcanzan ROC-AUC ≈ 0.70 y PR-AUC ≈ 0.50, frente a 0.50 y 0.23 del Dummy. Con umbral 0.5 detectan el 45 % de los malignos con 70 % de precisión y 94 % de especificidad. La Regresión Logística logra más recall (0.62) pero con precisión de solo 0.35. Las predicciones de HistGradientBoosting coinciden al 100 % con la regla «Risk = High»; solo mejoran levemente el ordenamiento (PR-AUC 0.500 frente a 0.465). Para alcanzar un recall de 90 % la precisión cae a 0.25 (casi igual a la prevalencia) y habría que marcar como positivos al 84 % de los pacientes.</w:t>
          </w:r>
        </w:sdtContent>
      </w:sdt>
    </w:p>
    <w:p w:rsidR="00000000" w:rsidDel="00000000" w:rsidP="00000000" w:rsidRDefault="00000000" w:rsidRPr="00000000" w14:paraId="00000251">
      <w:pPr>
        <w:spacing w:after="120" w:before="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Interpretación del grupo:</w:t>
      </w:r>
      <w:r w:rsidDel="00000000" w:rsidR="00000000" w:rsidRPr="00000000">
        <w:rPr>
          <w:rFonts w:ascii="Times New Roman" w:cs="Times New Roman" w:eastAsia="Times New Roman" w:hAnsi="Times New Roman"/>
          <w:rtl w:val="0"/>
        </w:rPr>
        <w:t xml:space="preserve"> los modelos aprenden señal real (muy por encima del azar), pero esa señal se limita a los factores identificados en el EDA, lo que confirman los coeficientes de la Regresión Logística (antecedente familiar, deficiencia de yodo, radiación, India y etnia asiática). El techo de desempeño lo impone el dataset y no el algoritmo. El criterio planteado inicialmente (recall mayor a 90 %) no es alcanzable con una precisión útil, por lo que se reformula como «maximizar el recall de Malignant manteniendo una precisión mínima aceptable», con el umbral definido en el TF1 a partir de un costo explícito de errores. Como hipótesis por verificar, el patrón sugiere que el generador asignó primero el nivel de riesgo a partir de los factores y luego el diagnóstico a partir del riesgo; si es así, ningún modelo podría superar sustancialmente este techo.</w:t>
      </w:r>
    </w:p>
    <w:p w:rsidR="00000000" w:rsidDel="00000000" w:rsidP="00000000" w:rsidRDefault="00000000" w:rsidRPr="00000000" w14:paraId="00000252">
      <w:pPr>
        <w:spacing w:after="240" w:before="240" w:lineRule="auto"/>
        <w:rPr>
          <w:rFonts w:ascii="Times New Roman" w:cs="Times New Roman" w:eastAsia="Times New Roman" w:hAnsi="Times New Roman"/>
        </w:rPr>
      </w:pPr>
      <w:r w:rsidDel="00000000" w:rsidR="00000000" w:rsidRPr="00000000">
        <w:br w:type="page"/>
      </w:r>
      <w:r w:rsidDel="00000000" w:rsidR="00000000" w:rsidRPr="00000000">
        <w:rPr>
          <w:rFonts w:ascii="Times New Roman" w:cs="Times New Roman" w:eastAsia="Times New Roman" w:hAnsi="Times New Roman"/>
          <w:b w:val="1"/>
          <w:bCs w:val="1"/>
          <w:rtl w:val="0"/>
        </w:rPr>
        <w:t xml:space="preserve">10. Estado del Proyecto y Plan hacia el TF1</w:t>
      </w:r>
      <w:r w:rsidDel="00000000" w:rsidR="00000000" w:rsidRPr="00000000">
        <w:rPr>
          <w:rtl w:val="0"/>
        </w:rPr>
      </w:r>
    </w:p>
    <w:p w:rsidR="00000000" w:rsidDel="00000000" w:rsidP="00000000" w:rsidRDefault="00000000" w:rsidRPr="00000000" w14:paraId="00000253">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10.1 Principales hallazgos</w:t>
      </w:r>
      <w:r w:rsidDel="00000000" w:rsidR="00000000" w:rsidRPr="00000000">
        <w:rPr>
          <w:rtl w:val="0"/>
        </w:rPr>
      </w:r>
    </w:p>
    <w:p w:rsidR="00000000" w:rsidDel="00000000" w:rsidP="00000000" w:rsidRDefault="00000000" w:rsidRPr="00000000" w14:paraId="00000254">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 diagnóstico está desbalanceado (23.3 % malignos).</w:t>
      </w:r>
    </w:p>
    <w:p w:rsidR="00000000" w:rsidDel="00000000" w:rsidP="00000000" w:rsidRDefault="00000000" w:rsidRPr="00000000" w14:paraId="00000255">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Solo el antecedente familiar, la radiación, la deficiencia de yodo, India y la etnia asiática se asocian con malignidad; hormonas, nódulo, edad, sexo, tabaquismo, obesidad y diabetes no aportan.</w:t>
      </w:r>
    </w:p>
    <w:p w:rsidR="00000000" w:rsidDel="00000000" w:rsidP="00000000" w:rsidRDefault="00000000" w:rsidRPr="00000000" w14:paraId="00000256">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 dataset muestra señales claras de ser sintético.</w:t>
      </w:r>
    </w:p>
    <w:p w:rsidR="00000000" w:rsidDel="00000000" w:rsidP="00000000" w:rsidRDefault="00000000" w:rsidRPr="00000000" w14:paraId="00000257">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Thyroid_Cancer_Risk es un puntaje redundante y con posible fuga: se excluyó y se usó como baseline del dominio.</w:t>
      </w:r>
    </w:p>
    <w:p w:rsidR="00000000" w:rsidDel="00000000" w:rsidP="00000000" w:rsidRDefault="00000000" w:rsidRPr="00000000" w14:paraId="00000258">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 mejor modelo preliminar es HistGradientBoosting (ROC-AUC 0.700, PR-AUC 0.500), que iguala a la regla del dominio sin usar esa variable.</w:t>
      </w:r>
    </w:p>
    <w:p w:rsidR="00000000" w:rsidDel="00000000" w:rsidP="00000000" w:rsidRDefault="00000000" w:rsidRPr="00000000" w14:paraId="00000259">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10.2 Problemas aún no resueltos</w:t>
      </w:r>
      <w:r w:rsidDel="00000000" w:rsidR="00000000" w:rsidRPr="00000000">
        <w:rPr>
          <w:rtl w:val="0"/>
        </w:rPr>
      </w:r>
    </w:p>
    <w:p w:rsidR="00000000" w:rsidDel="00000000" w:rsidP="00000000" w:rsidRDefault="00000000" w:rsidRPr="00000000" w14:paraId="0000025A">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Definir el umbral de decisión según un costo explícito de falsos negativos frente a falsos positivos.</w:t>
      </w:r>
    </w:p>
    <w:p w:rsidR="00000000" w:rsidDel="00000000" w:rsidP="00000000" w:rsidRDefault="00000000" w:rsidRPr="00000000" w14:paraId="0000025B">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Verificar si existen interacciones entre factores que los modelos aún no aprovechan.</w:t>
      </w:r>
    </w:p>
    <w:p w:rsidR="00000000" w:rsidDel="00000000" w:rsidP="00000000" w:rsidRDefault="00000000" w:rsidRPr="00000000" w14:paraId="0000025C">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Confirmar la licencia del dataset con su autor (no está declarada en Kaggle).</w:t>
      </w:r>
    </w:p>
    <w:p w:rsidR="00000000" w:rsidDel="00000000" w:rsidP="00000000" w:rsidRDefault="00000000" w:rsidRPr="00000000" w14:paraId="0000025D">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10.3 Limitaciones identificadas</w:t>
      </w:r>
      <w:r w:rsidDel="00000000" w:rsidR="00000000" w:rsidRPr="00000000">
        <w:rPr>
          <w:rtl w:val="0"/>
        </w:rPr>
      </w:r>
    </w:p>
    <w:p w:rsidR="00000000" w:rsidDel="00000000" w:rsidP="00000000" w:rsidRDefault="00000000" w:rsidRPr="00000000" w14:paraId="0000025E">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Validez externa muy limitada: los resultados no se pueden extrapolar a pacientes reales.</w:t>
      </w:r>
    </w:p>
    <w:p w:rsidR="00000000" w:rsidDel="00000000" w:rsidP="00000000" w:rsidRDefault="00000000" w:rsidRPr="00000000" w14:paraId="0000025F">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 desconoce el proceso de generación de Diagnosis y de Thyroid_Cancer_Risk.</w:t>
      </w:r>
    </w:p>
    <w:p w:rsidR="00000000" w:rsidDel="00000000" w:rsidP="00000000" w:rsidRDefault="00000000" w:rsidRPr="00000000" w14:paraId="00000260">
      <w:pPr>
        <w:spacing w:after="40" w:before="40" w:lineRule="auto"/>
        <w:ind w:left="567" w:hanging="283"/>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  Faltan variables clínicas determinantes (ecografía TI-RADS, citología Bethesda).</w:t>
      </w:r>
      <w:r w:rsidDel="00000000" w:rsidR="00000000" w:rsidRPr="00000000">
        <w:rPr>
          <w:rtl w:val="0"/>
        </w:rPr>
      </w:r>
    </w:p>
    <w:p w:rsidR="00000000" w:rsidDel="00000000" w:rsidP="00000000" w:rsidRDefault="00000000" w:rsidRPr="00000000" w14:paraId="00000261">
      <w:pPr>
        <w:keepNext w:val="1"/>
        <w:spacing w:after="16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62">
      <w:pPr>
        <w:keepNext w:val="1"/>
        <w:spacing w:after="16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63">
      <w:pPr>
        <w:keepNext w:val="1"/>
        <w:spacing w:after="16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64">
      <w:pPr>
        <w:keepNext w:val="1"/>
        <w:spacing w:after="16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65">
      <w:pPr>
        <w:keepNext w:val="1"/>
        <w:spacing w:after="16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10.4 Mejoras y actividades previstas para el TF1</w:t>
      </w:r>
      <w:r w:rsidDel="00000000" w:rsidR="00000000" w:rsidRPr="00000000">
        <w:rPr>
          <w:rtl w:val="0"/>
        </w:rPr>
      </w:r>
    </w:p>
    <w:tbl>
      <w:tblPr>
        <w:tblStyle w:val="Table14"/>
        <w:tblW w:w="9300.000000000002"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547"/>
        <w:gridCol w:w="5471"/>
        <w:gridCol w:w="2188"/>
        <w:gridCol w:w="1094"/>
        <w:tblGridChange w:id="0">
          <w:tblGrid>
            <w:gridCol w:w="547"/>
            <w:gridCol w:w="5471"/>
            <w:gridCol w:w="2188"/>
            <w:gridCol w:w="1094"/>
          </w:tblGrid>
        </w:tblGridChange>
      </w:tblGrid>
      <w:tr>
        <w:trPr>
          <w:cantSplit w:val="1"/>
          <w:tblHeader w:val="1"/>
        </w:trPr>
        <w:tc>
          <w:tcPr>
            <w:shd w:fill="1f3864" w:val="clear"/>
          </w:tcPr>
          <w:p w:rsidR="00000000" w:rsidDel="00000000" w:rsidP="00000000" w:rsidRDefault="00000000" w:rsidRPr="00000000" w14:paraId="0000026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w:t>
            </w:r>
            <w:r w:rsidDel="00000000" w:rsidR="00000000" w:rsidRPr="00000000">
              <w:rPr>
                <w:rtl w:val="0"/>
              </w:rPr>
            </w:r>
          </w:p>
        </w:tc>
        <w:tc>
          <w:tcPr>
            <w:shd w:fill="1f3864" w:val="clear"/>
          </w:tcPr>
          <w:p w:rsidR="00000000" w:rsidDel="00000000" w:rsidP="00000000" w:rsidRDefault="00000000" w:rsidRPr="00000000" w14:paraId="0000026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Actividad</w:t>
            </w:r>
            <w:r w:rsidDel="00000000" w:rsidR="00000000" w:rsidRPr="00000000">
              <w:rPr>
                <w:rtl w:val="0"/>
              </w:rPr>
            </w:r>
          </w:p>
        </w:tc>
        <w:tc>
          <w:tcPr>
            <w:shd w:fill="1f3864" w:val="clear"/>
          </w:tcPr>
          <w:p w:rsidR="00000000" w:rsidDel="00000000" w:rsidP="00000000" w:rsidRDefault="00000000" w:rsidRPr="00000000" w14:paraId="0000026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Herramienta</w:t>
            </w:r>
            <w:r w:rsidDel="00000000" w:rsidR="00000000" w:rsidRPr="00000000">
              <w:rPr>
                <w:rtl w:val="0"/>
              </w:rPr>
            </w:r>
          </w:p>
        </w:tc>
        <w:tc>
          <w:tcPr>
            <w:shd w:fill="1f3864" w:val="clear"/>
          </w:tcPr>
          <w:p w:rsidR="00000000" w:rsidDel="00000000" w:rsidP="00000000" w:rsidRDefault="00000000" w:rsidRPr="00000000" w14:paraId="0000026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Semana</w:t>
            </w:r>
            <w:r w:rsidDel="00000000" w:rsidR="00000000" w:rsidRPr="00000000">
              <w:rPr>
                <w:rtl w:val="0"/>
              </w:rPr>
            </w:r>
          </w:p>
        </w:tc>
      </w:tr>
      <w:tr>
        <w:trPr>
          <w:cantSplit w:val="1"/>
          <w:tblHeader w:val="0"/>
        </w:trPr>
        <w:tc>
          <w:tcPr/>
          <w:p w:rsidR="00000000" w:rsidDel="00000000" w:rsidP="00000000" w:rsidRDefault="00000000" w:rsidRPr="00000000" w14:paraId="0000026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p w:rsidR="00000000" w:rsidDel="00000000" w:rsidP="00000000" w:rsidRDefault="00000000" w:rsidRPr="00000000" w14:paraId="0000026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Ajuste de hiperparámetros con validación cruzada</w:t>
            </w:r>
          </w:p>
        </w:tc>
        <w:tc>
          <w:tcPr/>
          <w:p w:rsidR="00000000" w:rsidDel="00000000" w:rsidP="00000000" w:rsidRDefault="00000000" w:rsidRPr="00000000" w14:paraId="0000026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Optuna</w:t>
            </w:r>
          </w:p>
        </w:tc>
        <w:tc>
          <w:tcPr/>
          <w:p w:rsidR="00000000" w:rsidDel="00000000" w:rsidP="00000000" w:rsidRDefault="00000000" w:rsidRPr="00000000" w14:paraId="0000026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w:t>
            </w:r>
          </w:p>
        </w:tc>
      </w:tr>
      <w:tr>
        <w:trPr>
          <w:cantSplit w:val="1"/>
          <w:tblHeader w:val="0"/>
        </w:trPr>
        <w:tc>
          <w:tcPr/>
          <w:p w:rsidR="00000000" w:rsidDel="00000000" w:rsidP="00000000" w:rsidRDefault="00000000" w:rsidRPr="00000000" w14:paraId="0000026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p w:rsidR="00000000" w:rsidDel="00000000" w:rsidP="00000000" w:rsidRDefault="00000000" w:rsidRPr="00000000" w14:paraId="0000026F">
            <w:pPr>
              <w:spacing w:after="0" w:line="240" w:lineRule="auto"/>
              <w:rPr>
                <w:rFonts w:ascii="Times New Roman" w:cs="Times New Roman" w:eastAsia="Times New Roman" w:hAnsi="Times New Roman"/>
              </w:rPr>
            </w:pPr>
            <w:sdt>
              <w:sdtPr>
                <w:id w:val="-1768599141"/>
                <w:tag w:val="goog_rdk_16"/>
              </w:sdtPr>
              <w:sdtContent>
                <w:r w:rsidDel="00000000" w:rsidR="00000000" w:rsidRPr="00000000">
                  <w:rPr>
                    <w:rFonts w:ascii="Cardo" w:cs="Cardo" w:eastAsia="Cardo" w:hAnsi="Cardo"/>
                    <w:rtl w:val="0"/>
                  </w:rPr>
                  <w:t xml:space="preserve">Registro de experimentos (configuración → métricas)</w:t>
                </w:r>
              </w:sdtContent>
            </w:sdt>
          </w:p>
        </w:tc>
        <w:tc>
          <w:tcPr/>
          <w:p w:rsidR="00000000" w:rsidDel="00000000" w:rsidP="00000000" w:rsidRDefault="00000000" w:rsidRPr="00000000" w14:paraId="0000027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MLflow</w:t>
            </w:r>
          </w:p>
        </w:tc>
        <w:tc>
          <w:tcPr/>
          <w:p w:rsidR="00000000" w:rsidDel="00000000" w:rsidP="00000000" w:rsidRDefault="00000000" w:rsidRPr="00000000" w14:paraId="0000027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8–9</w:t>
            </w:r>
          </w:p>
        </w:tc>
      </w:tr>
      <w:tr>
        <w:trPr>
          <w:cantSplit w:val="1"/>
          <w:tblHeader w:val="0"/>
        </w:trPr>
        <w:tc>
          <w:tcPr/>
          <w:p w:rsidR="00000000" w:rsidDel="00000000" w:rsidP="00000000" w:rsidRDefault="00000000" w:rsidRPr="00000000" w14:paraId="0000027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027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Selección de umbral por costo y calibración de probabilidades</w:t>
            </w:r>
          </w:p>
        </w:tc>
        <w:tc>
          <w:tcPr/>
          <w:p w:rsidR="00000000" w:rsidDel="00000000" w:rsidP="00000000" w:rsidRDefault="00000000" w:rsidRPr="00000000" w14:paraId="0000027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scikit-learn</w:t>
            </w:r>
          </w:p>
        </w:tc>
        <w:tc>
          <w:tcPr/>
          <w:p w:rsidR="00000000" w:rsidDel="00000000" w:rsidP="00000000" w:rsidRDefault="00000000" w:rsidRPr="00000000" w14:paraId="0000027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1"/>
          <w:tblHeader w:val="0"/>
        </w:trPr>
        <w:tc>
          <w:tcPr/>
          <w:p w:rsidR="00000000" w:rsidDel="00000000" w:rsidP="00000000" w:rsidRDefault="00000000" w:rsidRPr="00000000" w14:paraId="0000027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p w:rsidR="00000000" w:rsidDel="00000000" w:rsidP="00000000" w:rsidRDefault="00000000" w:rsidRPr="00000000" w14:paraId="0000027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Interpretabilidad global y local</w:t>
            </w:r>
          </w:p>
        </w:tc>
        <w:tc>
          <w:tcPr/>
          <w:p w:rsidR="00000000" w:rsidDel="00000000" w:rsidP="00000000" w:rsidRDefault="00000000" w:rsidRPr="00000000" w14:paraId="0000027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w:t>
            </w:r>
          </w:p>
        </w:tc>
        <w:tc>
          <w:tcPr/>
          <w:p w:rsidR="00000000" w:rsidDel="00000000" w:rsidP="00000000" w:rsidRDefault="00000000" w:rsidRPr="00000000" w14:paraId="0000027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r>
      <w:tr>
        <w:trPr>
          <w:cantSplit w:val="1"/>
          <w:tblHeader w:val="0"/>
        </w:trPr>
        <w:tc>
          <w:tcPr/>
          <w:p w:rsidR="00000000" w:rsidDel="00000000" w:rsidP="00000000" w:rsidRDefault="00000000" w:rsidRPr="00000000" w14:paraId="0000027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p w:rsidR="00000000" w:rsidDel="00000000" w:rsidP="00000000" w:rsidRDefault="00000000" w:rsidRPr="00000000" w14:paraId="0000027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Análisis de errores (falsos negativos con perfil de riesgo bajo)</w:t>
            </w:r>
          </w:p>
        </w:tc>
        <w:tc>
          <w:tcPr/>
          <w:p w:rsidR="00000000" w:rsidDel="00000000" w:rsidP="00000000" w:rsidRDefault="00000000" w:rsidRPr="00000000" w14:paraId="0000027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pandas, SHAP</w:t>
            </w:r>
          </w:p>
        </w:tc>
        <w:tc>
          <w:tcPr/>
          <w:p w:rsidR="00000000" w:rsidDel="00000000" w:rsidP="00000000" w:rsidRDefault="00000000" w:rsidRPr="00000000" w14:paraId="0000027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11–12</w:t>
            </w:r>
          </w:p>
        </w:tc>
      </w:tr>
      <w:tr>
        <w:trPr>
          <w:cantSplit w:val="1"/>
          <w:tblHeader w:val="0"/>
        </w:trPr>
        <w:tc>
          <w:tcPr/>
          <w:p w:rsidR="00000000" w:rsidDel="00000000" w:rsidP="00000000" w:rsidRDefault="00000000" w:rsidRPr="00000000" w14:paraId="0000027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p w:rsidR="00000000" w:rsidDel="00000000" w:rsidP="00000000" w:rsidRDefault="00000000" w:rsidRPr="00000000" w14:paraId="0000027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Técnica adicional justificada: clustering de perfiles de riesgo</w:t>
            </w:r>
          </w:p>
        </w:tc>
        <w:tc>
          <w:tcPr/>
          <w:p w:rsidR="00000000" w:rsidDel="00000000" w:rsidP="00000000" w:rsidRDefault="00000000" w:rsidRPr="00000000" w14:paraId="000002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K-Means / UMAP</w:t>
            </w:r>
          </w:p>
        </w:tc>
        <w:tc>
          <w:tcPr/>
          <w:p w:rsidR="00000000" w:rsidDel="00000000" w:rsidP="00000000" w:rsidRDefault="00000000" w:rsidRPr="00000000" w14:paraId="000002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r>
      <w:tr>
        <w:trPr>
          <w:cantSplit w:val="1"/>
          <w:tblHeader w:val="0"/>
        </w:trPr>
        <w:tc>
          <w:tcPr/>
          <w:p w:rsidR="00000000" w:rsidDel="00000000" w:rsidP="00000000" w:rsidRDefault="00000000" w:rsidRPr="00000000" w14:paraId="000002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p w:rsidR="00000000" w:rsidDel="00000000" w:rsidP="00000000" w:rsidRDefault="00000000" w:rsidRPr="00000000" w14:paraId="000002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Evaluación final única sobre test</w:t>
            </w:r>
          </w:p>
        </w:tc>
        <w:tc>
          <w:tcPr/>
          <w:p w:rsidR="00000000" w:rsidDel="00000000" w:rsidP="00000000" w:rsidRDefault="00000000" w:rsidRPr="00000000" w14:paraId="000002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scikit-learn</w:t>
            </w:r>
          </w:p>
        </w:tc>
        <w:tc>
          <w:tcPr/>
          <w:p w:rsidR="00000000" w:rsidDel="00000000" w:rsidP="00000000" w:rsidRDefault="00000000" w:rsidRPr="00000000" w14:paraId="000002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r>
      <w:tr>
        <w:trPr>
          <w:cantSplit w:val="1"/>
          <w:tblHeader w:val="0"/>
        </w:trPr>
        <w:tc>
          <w:tcPr/>
          <w:p w:rsidR="00000000" w:rsidDel="00000000" w:rsidP="00000000" w:rsidRDefault="00000000" w:rsidRPr="00000000" w14:paraId="000002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0287">
            <w:pPr>
              <w:spacing w:after="0" w:line="240" w:lineRule="auto"/>
              <w:rPr>
                <w:rFonts w:ascii="Times New Roman" w:cs="Times New Roman" w:eastAsia="Times New Roman" w:hAnsi="Times New Roman"/>
              </w:rPr>
            </w:pPr>
            <w:sdt>
              <w:sdtPr>
                <w:id w:val="687785279"/>
                <w:tag w:val="goog_rdk_17"/>
              </w:sdtPr>
              <w:sdtContent>
                <w:r w:rsidDel="00000000" w:rsidR="00000000" w:rsidRPr="00000000">
                  <w:rPr>
                    <w:rFonts w:ascii="Cardo" w:cs="Cardo" w:eastAsia="Cardo" w:hAnsi="Cardo"/>
                    <w:rtl w:val="0"/>
                  </w:rPr>
                  <w:t xml:space="preserve">Demo de uso (formulario → probabilidad de malignidad)</w:t>
                </w:r>
              </w:sdtContent>
            </w:sdt>
          </w:p>
        </w:tc>
        <w:tc>
          <w:tcPr/>
          <w:p w:rsidR="00000000" w:rsidDel="00000000" w:rsidP="00000000" w:rsidRDefault="00000000" w:rsidRPr="00000000" w14:paraId="000002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Streamlit</w:t>
            </w:r>
          </w:p>
        </w:tc>
        <w:tc>
          <w:tcPr/>
          <w:p w:rsidR="00000000" w:rsidDel="00000000" w:rsidP="00000000" w:rsidRDefault="00000000" w:rsidRPr="00000000" w14:paraId="000002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13–14</w:t>
            </w:r>
          </w:p>
        </w:tc>
      </w:tr>
      <w:tr>
        <w:trPr>
          <w:cantSplit w:val="1"/>
          <w:tblHeader w:val="0"/>
        </w:trPr>
        <w:tc>
          <w:tcPr/>
          <w:p w:rsidR="00000000" w:rsidDel="00000000" w:rsidP="00000000" w:rsidRDefault="00000000" w:rsidRPr="00000000" w14:paraId="000002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p w:rsidR="00000000" w:rsidDel="00000000" w:rsidP="00000000" w:rsidRDefault="00000000" w:rsidRPr="00000000" w14:paraId="000002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README final, documentación y presentación</w:t>
            </w:r>
          </w:p>
        </w:tc>
        <w:tc>
          <w:tcPr/>
          <w:p w:rsidR="00000000" w:rsidDel="00000000" w:rsidP="00000000" w:rsidRDefault="00000000" w:rsidRPr="00000000" w14:paraId="000002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p w:rsidR="00000000" w:rsidDel="00000000" w:rsidP="00000000" w:rsidRDefault="00000000" w:rsidRPr="00000000" w14:paraId="000002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14–15</w:t>
            </w:r>
          </w:p>
        </w:tc>
      </w:tr>
    </w:tbl>
    <w:p w:rsidR="00000000" w:rsidDel="00000000" w:rsidP="00000000" w:rsidRDefault="00000000" w:rsidRPr="00000000" w14:paraId="0000028E">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F">
      <w:pPr>
        <w:pageBreakBefore w:val="1"/>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Glosario</w:t>
      </w:r>
      <w:r w:rsidDel="00000000" w:rsidR="00000000" w:rsidRPr="00000000">
        <w:rPr>
          <w:rtl w:val="0"/>
        </w:rPr>
      </w:r>
    </w:p>
    <w:p w:rsidR="00000000" w:rsidDel="00000000" w:rsidP="00000000" w:rsidRDefault="00000000" w:rsidRPr="00000000" w14:paraId="00000290">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Baseline:</w:t>
      </w:r>
      <w:r w:rsidDel="00000000" w:rsidR="00000000" w:rsidRPr="00000000">
        <w:rPr>
          <w:rFonts w:ascii="Times New Roman" w:cs="Times New Roman" w:eastAsia="Times New Roman" w:hAnsi="Times New Roman"/>
          <w:rtl w:val="0"/>
        </w:rPr>
        <w:t xml:space="preserve"> modelo o regla simple que sirve como referencia mínima de desempeño.</w:t>
      </w:r>
    </w:p>
    <w:p w:rsidR="00000000" w:rsidDel="00000000" w:rsidP="00000000" w:rsidRDefault="00000000" w:rsidRPr="00000000" w14:paraId="00000291">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Data leakage (fuga de información):</w:t>
      </w:r>
      <w:r w:rsidDel="00000000" w:rsidR="00000000" w:rsidRPr="00000000">
        <w:rPr>
          <w:rFonts w:ascii="Times New Roman" w:cs="Times New Roman" w:eastAsia="Times New Roman" w:hAnsi="Times New Roman"/>
          <w:rtl w:val="0"/>
        </w:rPr>
        <w:t xml:space="preserve"> uso, durante el entrenamiento, de información que no estaría disponible al momento de predecir.</w:t>
      </w:r>
    </w:p>
    <w:p w:rsidR="00000000" w:rsidDel="00000000" w:rsidP="00000000" w:rsidRDefault="00000000" w:rsidRPr="00000000" w14:paraId="00000292">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Estratificación:</w:t>
      </w:r>
      <w:r w:rsidDel="00000000" w:rsidR="00000000" w:rsidRPr="00000000">
        <w:rPr>
          <w:rFonts w:ascii="Times New Roman" w:cs="Times New Roman" w:eastAsia="Times New Roman" w:hAnsi="Times New Roman"/>
          <w:rtl w:val="0"/>
        </w:rPr>
        <w:t xml:space="preserve"> separación de datos que mantiene la proporción de clases en cada subconjunto.</w:t>
      </w:r>
    </w:p>
    <w:p w:rsidR="00000000" w:rsidDel="00000000" w:rsidP="00000000" w:rsidRDefault="00000000" w:rsidRPr="00000000" w14:paraId="00000293">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One-Hot Encoding:</w:t>
      </w:r>
      <w:r w:rsidDel="00000000" w:rsidR="00000000" w:rsidRPr="00000000">
        <w:rPr>
          <w:rFonts w:ascii="Times New Roman" w:cs="Times New Roman" w:eastAsia="Times New Roman" w:hAnsi="Times New Roman"/>
          <w:rtl w:val="0"/>
        </w:rPr>
        <w:t xml:space="preserve"> representación de una variable categórica mediante columnas binarias.</w:t>
      </w:r>
    </w:p>
    <w:p w:rsidR="00000000" w:rsidDel="00000000" w:rsidP="00000000" w:rsidRDefault="00000000" w:rsidRPr="00000000" w14:paraId="00000294">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Pipeline:</w:t>
      </w:r>
      <w:r w:rsidDel="00000000" w:rsidR="00000000" w:rsidRPr="00000000">
        <w:rPr>
          <w:rFonts w:ascii="Times New Roman" w:cs="Times New Roman" w:eastAsia="Times New Roman" w:hAnsi="Times New Roman"/>
          <w:rtl w:val="0"/>
        </w:rPr>
        <w:t xml:space="preserve"> secuencia encadenada de transformaciones y modelo que se ajusta y aplica como una sola unidad.</w:t>
      </w:r>
    </w:p>
    <w:p w:rsidR="00000000" w:rsidDel="00000000" w:rsidP="00000000" w:rsidRDefault="00000000" w:rsidRPr="00000000" w14:paraId="00000295">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Recall (sensibilidad):</w:t>
      </w:r>
      <w:r w:rsidDel="00000000" w:rsidR="00000000" w:rsidRPr="00000000">
        <w:rPr>
          <w:rFonts w:ascii="Times New Roman" w:cs="Times New Roman" w:eastAsia="Times New Roman" w:hAnsi="Times New Roman"/>
          <w:rtl w:val="0"/>
        </w:rPr>
        <w:t xml:space="preserve"> proporción de casos positivos reales que el modelo detecta.</w:t>
      </w:r>
    </w:p>
    <w:p w:rsidR="00000000" w:rsidDel="00000000" w:rsidP="00000000" w:rsidRDefault="00000000" w:rsidRPr="00000000" w14:paraId="00000296">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Precisión:</w:t>
      </w:r>
      <w:r w:rsidDel="00000000" w:rsidR="00000000" w:rsidRPr="00000000">
        <w:rPr>
          <w:rFonts w:ascii="Times New Roman" w:cs="Times New Roman" w:eastAsia="Times New Roman" w:hAnsi="Times New Roman"/>
          <w:rtl w:val="0"/>
        </w:rPr>
        <w:t xml:space="preserve"> proporción de predicciones positivas que son correctas.</w:t>
      </w:r>
    </w:p>
    <w:p w:rsidR="00000000" w:rsidDel="00000000" w:rsidP="00000000" w:rsidRDefault="00000000" w:rsidRPr="00000000" w14:paraId="00000297">
      <w:pPr>
        <w:spacing w:after="40" w:before="40" w:lineRule="auto"/>
        <w:ind w:left="567" w:hanging="283"/>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Especificidad:</w:t>
      </w:r>
      <w:r w:rsidDel="00000000" w:rsidR="00000000" w:rsidRPr="00000000">
        <w:rPr>
          <w:rFonts w:ascii="Times New Roman" w:cs="Times New Roman" w:eastAsia="Times New Roman" w:hAnsi="Times New Roman"/>
          <w:rtl w:val="0"/>
        </w:rPr>
        <w:t xml:space="preserve"> proporción de casos negativos reales correctamente identificados.</w:t>
      </w:r>
    </w:p>
    <w:p w:rsidR="00000000" w:rsidDel="00000000" w:rsidP="00000000" w:rsidRDefault="00000000" w:rsidRPr="00000000" w14:paraId="0000029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Siglario</w:t>
      </w:r>
      <w:r w:rsidDel="00000000" w:rsidR="00000000" w:rsidRPr="00000000">
        <w:rPr>
          <w:rtl w:val="0"/>
        </w:rPr>
      </w:r>
    </w:p>
    <w:tbl>
      <w:tblPr>
        <w:tblStyle w:val="Table15"/>
        <w:tblW w:w="9300.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067"/>
        <w:gridCol w:w="7233"/>
        <w:tblGridChange w:id="0">
          <w:tblGrid>
            <w:gridCol w:w="2067"/>
            <w:gridCol w:w="7233"/>
          </w:tblGrid>
        </w:tblGridChange>
      </w:tblGrid>
      <w:tr>
        <w:trPr>
          <w:cantSplit w:val="1"/>
          <w:tblHeader w:val="1"/>
        </w:trPr>
        <w:tc>
          <w:tcPr>
            <w:shd w:fill="1f3864" w:val="clear"/>
          </w:tcPr>
          <w:p w:rsidR="00000000" w:rsidDel="00000000" w:rsidP="00000000" w:rsidRDefault="00000000" w:rsidRPr="00000000" w14:paraId="000002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Sigla</w:t>
            </w:r>
            <w:r w:rsidDel="00000000" w:rsidR="00000000" w:rsidRPr="00000000">
              <w:rPr>
                <w:rtl w:val="0"/>
              </w:rPr>
            </w:r>
          </w:p>
        </w:tc>
        <w:tc>
          <w:tcPr>
            <w:shd w:fill="1f3864" w:val="clear"/>
          </w:tcPr>
          <w:p w:rsidR="00000000" w:rsidDel="00000000" w:rsidP="00000000" w:rsidRDefault="00000000" w:rsidRPr="00000000" w14:paraId="000002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color w:val="ffffff"/>
                <w:rtl w:val="0"/>
              </w:rPr>
              <w:t xml:space="preserve">Significado</w:t>
            </w:r>
            <w:r w:rsidDel="00000000" w:rsidR="00000000" w:rsidRPr="00000000">
              <w:rPr>
                <w:rtl w:val="0"/>
              </w:rPr>
            </w:r>
          </w:p>
        </w:tc>
      </w:tr>
      <w:tr>
        <w:trPr>
          <w:cantSplit w:val="1"/>
          <w:tblHeader w:val="0"/>
        </w:trPr>
        <w:tc>
          <w:tcPr/>
          <w:p w:rsidR="00000000" w:rsidDel="00000000" w:rsidP="00000000" w:rsidRDefault="00000000" w:rsidRPr="00000000" w14:paraId="000002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AUC</w:t>
            </w:r>
          </w:p>
        </w:tc>
        <w:tc>
          <w:tcPr/>
          <w:p w:rsidR="00000000" w:rsidDel="00000000" w:rsidP="00000000" w:rsidRDefault="00000000" w:rsidRPr="00000000" w14:paraId="000002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Area Under the Curve (área bajo la curva)</w:t>
            </w:r>
          </w:p>
        </w:tc>
      </w:tr>
      <w:tr>
        <w:trPr>
          <w:cantSplit w:val="1"/>
          <w:tblHeader w:val="0"/>
        </w:trPr>
        <w:tc>
          <w:tcPr/>
          <w:p w:rsidR="00000000" w:rsidDel="00000000" w:rsidP="00000000" w:rsidRDefault="00000000" w:rsidRPr="00000000" w14:paraId="000002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CV</w:t>
            </w:r>
          </w:p>
        </w:tc>
        <w:tc>
          <w:tcPr/>
          <w:p w:rsidR="00000000" w:rsidDel="00000000" w:rsidP="00000000" w:rsidRDefault="00000000" w:rsidRPr="00000000" w14:paraId="000002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Cross-Validation (validación cruzada)</w:t>
            </w:r>
          </w:p>
        </w:tc>
      </w:tr>
      <w:tr>
        <w:trPr>
          <w:cantSplit w:val="1"/>
          <w:tblHeader w:val="0"/>
        </w:trPr>
        <w:tc>
          <w:tcPr/>
          <w:p w:rsidR="00000000" w:rsidDel="00000000" w:rsidP="00000000" w:rsidRDefault="00000000" w:rsidRPr="00000000" w14:paraId="000002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EDA</w:t>
            </w:r>
          </w:p>
        </w:tc>
        <w:tc>
          <w:tcPr/>
          <w:p w:rsidR="00000000" w:rsidDel="00000000" w:rsidP="00000000" w:rsidRDefault="00000000" w:rsidRPr="00000000" w14:paraId="000002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Exploratory Data Analysis (análisis exploratorio de datos)</w:t>
            </w:r>
          </w:p>
        </w:tc>
      </w:tr>
      <w:tr>
        <w:trPr>
          <w:cantSplit w:val="1"/>
          <w:tblHeader w:val="0"/>
        </w:trPr>
        <w:tc>
          <w:tcPr/>
          <w:p w:rsidR="00000000" w:rsidDel="00000000" w:rsidP="00000000" w:rsidRDefault="00000000" w:rsidRPr="00000000" w14:paraId="000002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FN / FP</w:t>
            </w:r>
          </w:p>
        </w:tc>
        <w:tc>
          <w:tcPr/>
          <w:p w:rsidR="00000000" w:rsidDel="00000000" w:rsidP="00000000" w:rsidRDefault="00000000" w:rsidRPr="00000000" w14:paraId="000002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Falso negativo / Falso positivo</w:t>
            </w:r>
          </w:p>
        </w:tc>
      </w:tr>
      <w:tr>
        <w:trPr>
          <w:cantSplit w:val="1"/>
          <w:tblHeader w:val="0"/>
        </w:trPr>
        <w:tc>
          <w:tcPr/>
          <w:p w:rsidR="00000000" w:rsidDel="00000000" w:rsidP="00000000" w:rsidRDefault="00000000" w:rsidRPr="00000000" w14:paraId="000002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HGB</w:t>
            </w:r>
          </w:p>
        </w:tc>
        <w:tc>
          <w:tcPr/>
          <w:p w:rsidR="00000000" w:rsidDel="00000000" w:rsidP="00000000" w:rsidRDefault="00000000" w:rsidRPr="00000000" w14:paraId="000002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HistGradientBoosting</w:t>
            </w:r>
          </w:p>
        </w:tc>
      </w:tr>
      <w:tr>
        <w:trPr>
          <w:cantSplit w:val="1"/>
          <w:tblHeader w:val="0"/>
        </w:trPr>
        <w:tc>
          <w:tcPr/>
          <w:p w:rsidR="00000000" w:rsidDel="00000000" w:rsidP="00000000" w:rsidRDefault="00000000" w:rsidRPr="00000000" w14:paraId="000002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IQR</w:t>
            </w:r>
          </w:p>
        </w:tc>
        <w:tc>
          <w:tcPr/>
          <w:p w:rsidR="00000000" w:rsidDel="00000000" w:rsidP="00000000" w:rsidRDefault="00000000" w:rsidRPr="00000000" w14:paraId="000002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Interquartile Range (rango intercuartílico)</w:t>
            </w:r>
          </w:p>
        </w:tc>
      </w:tr>
      <w:tr>
        <w:trPr>
          <w:cantSplit w:val="1"/>
          <w:tblHeader w:val="0"/>
        </w:trPr>
        <w:tc>
          <w:tcPr/>
          <w:p w:rsidR="00000000" w:rsidDel="00000000" w:rsidP="00000000" w:rsidRDefault="00000000" w:rsidRPr="00000000" w14:paraId="000002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LR</w:t>
            </w:r>
          </w:p>
        </w:tc>
        <w:tc>
          <w:tcPr/>
          <w:p w:rsidR="00000000" w:rsidDel="00000000" w:rsidP="00000000" w:rsidRDefault="00000000" w:rsidRPr="00000000" w14:paraId="000002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Logistic Regression (Regresión Logística)</w:t>
            </w:r>
          </w:p>
        </w:tc>
      </w:tr>
      <w:tr>
        <w:trPr>
          <w:cantSplit w:val="1"/>
          <w:tblHeader w:val="0"/>
        </w:trPr>
        <w:tc>
          <w:tcPr/>
          <w:p w:rsidR="00000000" w:rsidDel="00000000" w:rsidP="00000000" w:rsidRDefault="00000000" w:rsidRPr="00000000" w14:paraId="000002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w:t>
            </w:r>
          </w:p>
        </w:tc>
        <w:tc>
          <w:tcPr/>
          <w:p w:rsidR="00000000" w:rsidDel="00000000" w:rsidP="00000000" w:rsidRDefault="00000000" w:rsidRPr="00000000" w14:paraId="000002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Precision–Recall</w:t>
            </w:r>
          </w:p>
        </w:tc>
      </w:tr>
      <w:tr>
        <w:trPr>
          <w:cantSplit w:val="1"/>
          <w:tblHeader w:val="0"/>
        </w:trPr>
        <w:tc>
          <w:tcPr/>
          <w:p w:rsidR="00000000" w:rsidDel="00000000" w:rsidP="00000000" w:rsidRDefault="00000000" w:rsidRPr="00000000" w14:paraId="000002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ROC</w:t>
            </w:r>
          </w:p>
        </w:tc>
        <w:tc>
          <w:tcPr/>
          <w:p w:rsidR="00000000" w:rsidDel="00000000" w:rsidP="00000000" w:rsidRDefault="00000000" w:rsidRPr="00000000" w14:paraId="000002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Receiver Operating Characteristic</w:t>
            </w:r>
          </w:p>
        </w:tc>
      </w:tr>
      <w:tr>
        <w:trPr>
          <w:cantSplit w:val="1"/>
          <w:tblHeader w:val="0"/>
        </w:trPr>
        <w:tc>
          <w:tcPr/>
          <w:p w:rsidR="00000000" w:rsidDel="00000000" w:rsidP="00000000" w:rsidRDefault="00000000" w:rsidRPr="00000000" w14:paraId="000002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w:t>
            </w:r>
          </w:p>
        </w:tc>
        <w:tc>
          <w:tcPr/>
          <w:p w:rsidR="00000000" w:rsidDel="00000000" w:rsidP="00000000" w:rsidRDefault="00000000" w:rsidRPr="00000000" w14:paraId="000002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SHapley Additive exPlanations</w:t>
            </w:r>
          </w:p>
        </w:tc>
      </w:tr>
      <w:tr>
        <w:trPr>
          <w:cantSplit w:val="1"/>
          <w:tblHeader w:val="0"/>
        </w:trPr>
        <w:tc>
          <w:tcPr/>
          <w:p w:rsidR="00000000" w:rsidDel="00000000" w:rsidP="00000000" w:rsidRDefault="00000000" w:rsidRPr="00000000" w14:paraId="000002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T3 / T4</w:t>
            </w:r>
          </w:p>
        </w:tc>
        <w:tc>
          <w:tcPr/>
          <w:p w:rsidR="00000000" w:rsidDel="00000000" w:rsidP="00000000" w:rsidRDefault="00000000" w:rsidRPr="00000000" w14:paraId="000002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Triyodotironina / Tiroxina</w:t>
            </w:r>
          </w:p>
        </w:tc>
      </w:tr>
      <w:tr>
        <w:trPr>
          <w:cantSplit w:val="1"/>
          <w:tblHeader w:val="0"/>
        </w:trPr>
        <w:tc>
          <w:tcPr/>
          <w:p w:rsidR="00000000" w:rsidDel="00000000" w:rsidP="00000000" w:rsidRDefault="00000000" w:rsidRPr="00000000" w14:paraId="000002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TSH</w:t>
            </w:r>
          </w:p>
        </w:tc>
        <w:tc>
          <w:tcPr/>
          <w:p w:rsidR="00000000" w:rsidDel="00000000" w:rsidP="00000000" w:rsidRDefault="00000000" w:rsidRPr="00000000" w14:paraId="000002B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Thyroid-Stimulating Hormone (hormona estimulante de tiroides)</w:t>
            </w:r>
          </w:p>
        </w:tc>
      </w:tr>
    </w:tbl>
    <w:p w:rsidR="00000000" w:rsidDel="00000000" w:rsidP="00000000" w:rsidRDefault="00000000" w:rsidRPr="00000000" w14:paraId="000002B3">
      <w:pPr>
        <w:spacing w:after="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B4">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B5">
      <w:pPr>
        <w:spacing w:after="240" w:befor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2B6">
      <w:pPr>
        <w:pageBreakBefore w:val="1"/>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Anexos</w:t>
      </w:r>
    </w:p>
    <w:p w:rsidR="00000000" w:rsidDel="00000000" w:rsidP="00000000" w:rsidRDefault="00000000" w:rsidRPr="00000000" w14:paraId="000002B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Anexo A. </w:t>
      </w:r>
    </w:p>
    <w:p w:rsidR="00000000" w:rsidDel="00000000" w:rsidP="00000000" w:rsidRDefault="00000000" w:rsidRPr="00000000" w14:paraId="000002B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Link del repositorio de Github : https://github.com/SofiaGMiranda/tp1-thyroid-dmt.git</w:t>
      </w:r>
    </w:p>
    <w:p w:rsidR="00000000" w:rsidDel="00000000" w:rsidP="00000000" w:rsidRDefault="00000000" w:rsidRPr="00000000" w14:paraId="000002B9">
      <w:pPr>
        <w:pageBreakBefore w:val="1"/>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Bibliografía</w:t>
      </w:r>
      <w:r w:rsidDel="00000000" w:rsidR="00000000" w:rsidRPr="00000000">
        <w:rPr>
          <w:rtl w:val="0"/>
        </w:rPr>
      </w:r>
    </w:p>
    <w:p w:rsidR="00000000" w:rsidDel="00000000" w:rsidP="00000000" w:rsidRDefault="00000000" w:rsidRPr="00000000" w14:paraId="000002BA">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Bray, F., Laversanne, M., Sung, H., et al. (2024). Global cancer statistics 2022: GLOBOCAN estimates of incidence and mortality worldwide for 36 cancers in 185 countries. CA: A Cancer Journal for Clinicians, 74(3), 229–263.</w:t>
      </w:r>
    </w:p>
    <w:p w:rsidR="00000000" w:rsidDel="00000000" w:rsidP="00000000" w:rsidRDefault="00000000" w:rsidRPr="00000000" w14:paraId="000002BB">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Haugen, B. R., Alexander, E. K., Bible, K. C., et al. (2016). 2015 American Thyroid Association Management Guidelines for Adult Patients with Thyroid Nodules and Differentiated Thyroid Cancer. Thyroid, 26(1), 1–133.</w:t>
      </w:r>
    </w:p>
    <w:p w:rsidR="00000000" w:rsidDel="00000000" w:rsidP="00000000" w:rsidRDefault="00000000" w:rsidRPr="00000000" w14:paraId="000002BC">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Pedregosa, F., Varoquaux, G., Gramfort, A., et al. (2011). Scikit-learn: Machine Learning in Python. Journal of Machine Learning Research, 12, 2825–2830.</w:t>
      </w:r>
    </w:p>
    <w:p w:rsidR="00000000" w:rsidDel="00000000" w:rsidP="00000000" w:rsidRDefault="00000000" w:rsidRPr="00000000" w14:paraId="000002BD">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Saito, T., &amp; Rehmsmeier, M. (2015). The precision-recall plot is more informative than the ROC plot when evaluating binary classifiers on imbalanced datasets. PLoS ONE, 10(3), e0118432.</w:t>
      </w:r>
    </w:p>
    <w:p w:rsidR="00000000" w:rsidDel="00000000" w:rsidP="00000000" w:rsidRDefault="00000000" w:rsidRPr="00000000" w14:paraId="000002BE">
      <w:pPr>
        <w:spacing w:after="12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Chirumamilla, B. (2025). Thyroid Cancer Risk Dataset [Conjunto de datos]. Kaggle. </w:t>
      </w:r>
      <w:hyperlink r:id="rId18">
        <w:r w:rsidDel="00000000" w:rsidR="00000000" w:rsidRPr="00000000">
          <w:rPr>
            <w:rFonts w:ascii="Times New Roman" w:cs="Times New Roman" w:eastAsia="Times New Roman" w:hAnsi="Times New Roman"/>
            <w:color w:val="1155cc"/>
            <w:u w:val="single"/>
            <w:rtl w:val="0"/>
          </w:rPr>
          <w:t xml:space="preserve">https://www.kaggle.com/datasets/bhargavchirumamilla/thyroid-cancer-risk-dataset</w:t>
        </w:r>
      </w:hyperlink>
      <w:r w:rsidDel="00000000" w:rsidR="00000000" w:rsidRPr="00000000">
        <w:rPr>
          <w:rtl w:val="0"/>
        </w:rPr>
      </w:r>
    </w:p>
    <w:p w:rsidR="00000000" w:rsidDel="00000000" w:rsidP="00000000" w:rsidRDefault="00000000" w:rsidRPr="00000000" w14:paraId="000002BF">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0">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1">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2">
      <w:pPr>
        <w:spacing w:after="120" w:before="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3">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4">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5">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6">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7">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8">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9">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A">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B">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C">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D">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E">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F">
      <w:pPr>
        <w:spacing w:after="120" w:before="12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0">
      <w:pPr>
        <w:spacing w:after="120" w:before="120" w:lineRule="auto"/>
        <w:rPr>
          <w:b w:val="1"/>
          <w:bCs w:val="1"/>
          <w:sz w:val="32"/>
          <w:szCs w:val="32"/>
        </w:rPr>
      </w:pPr>
      <w:r w:rsidDel="00000000" w:rsidR="00000000" w:rsidRPr="00000000">
        <w:rPr>
          <w:rtl w:val="0"/>
        </w:rPr>
      </w:r>
    </w:p>
    <w:p w:rsidR="00000000" w:rsidDel="00000000" w:rsidP="00000000" w:rsidRDefault="00000000" w:rsidRPr="00000000" w14:paraId="000002D1">
      <w:pPr>
        <w:spacing w:after="120" w:before="120" w:lineRule="auto"/>
        <w:rPr>
          <w:b w:val="1"/>
          <w:bCs w:val="1"/>
          <w:sz w:val="36"/>
          <w:szCs w:val="36"/>
        </w:rPr>
      </w:pPr>
      <w:r w:rsidDel="00000000" w:rsidR="00000000" w:rsidRPr="00000000">
        <w:rPr>
          <w:b w:val="1"/>
          <w:bCs w:val="1"/>
          <w:sz w:val="36"/>
          <w:szCs w:val="36"/>
          <w:rtl w:val="0"/>
        </w:rPr>
        <w:t xml:space="preserve">Anexo</w:t>
      </w:r>
    </w:p>
    <w:p w:rsidR="00000000" w:rsidDel="00000000" w:rsidP="00000000" w:rsidRDefault="00000000" w:rsidRPr="00000000" w14:paraId="000002D2">
      <w:pPr>
        <w:spacing w:after="120" w:before="120" w:lineRule="auto"/>
        <w:rPr>
          <w:sz w:val="36"/>
          <w:szCs w:val="36"/>
        </w:rPr>
      </w:pPr>
      <w:r w:rsidDel="00000000" w:rsidR="00000000" w:rsidRPr="00000000">
        <w:rPr>
          <w:sz w:val="36"/>
          <w:szCs w:val="36"/>
          <w:rtl w:val="0"/>
        </w:rPr>
        <w:t xml:space="preserve">Link del Repositorio en Github: </w:t>
      </w:r>
      <w:hyperlink r:id="rId19">
        <w:r w:rsidDel="00000000" w:rsidR="00000000" w:rsidRPr="00000000">
          <w:rPr>
            <w:color w:val="1155cc"/>
            <w:sz w:val="36"/>
            <w:szCs w:val="36"/>
            <w:u w:val="single"/>
            <w:rtl w:val="0"/>
          </w:rPr>
          <w:t xml:space="preserve">https://github.com/SofiaGMiranda/tp1-thyroid-dmt</w:t>
        </w:r>
      </w:hyperlink>
      <w:r w:rsidDel="00000000" w:rsidR="00000000" w:rsidRPr="00000000">
        <w:rPr>
          <w:sz w:val="36"/>
          <w:szCs w:val="36"/>
          <w:rtl w:val="0"/>
        </w:rPr>
        <w:t xml:space="preserve"> </w:t>
      </w:r>
    </w:p>
    <w:sectPr>
      <w:headerReference r:id="rId20" w:type="default"/>
      <w:pgSz w:h="15840" w:w="12240"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color="4f81bd" w:space="0" w:sz="24" w:val="single"/>
        <w:left w:color="4f81bd" w:space="0" w:sz="24" w:val="single"/>
        <w:bottom w:color="4f81bd" w:space="0" w:sz="24" w:val="single"/>
        <w:right w:color="4f81bd" w:space="0" w:sz="24" w:val="single"/>
      </w:pBdr>
      <w:shd w:fill="4f81bd" w:val="clear"/>
      <w:spacing w:after="0" w:line="240" w:lineRule="auto"/>
      <w:jc w:val="both"/>
    </w:pPr>
    <w:rPr>
      <w:b w:val="1"/>
      <w:bCs w:val="1"/>
      <w:smallCaps w:val="1"/>
      <w:color w:val="ffffff"/>
      <w:sz w:val="28"/>
      <w:szCs w:val="28"/>
    </w:rPr>
  </w:style>
  <w:style w:type="paragraph" w:styleId="Heading2">
    <w:name w:val="heading 2"/>
    <w:basedOn w:val="Normal"/>
    <w:next w:val="Normal"/>
    <w:pPr>
      <w:pBdr>
        <w:top w:color="dbe5f1" w:space="0" w:sz="24" w:val="single"/>
        <w:left w:color="dbe5f1" w:space="0" w:sz="24" w:val="single"/>
        <w:bottom w:color="dbe5f1" w:space="0" w:sz="24" w:val="single"/>
        <w:right w:color="dbe5f1" w:space="0" w:sz="24" w:val="single"/>
      </w:pBdr>
      <w:shd w:fill="dbe5f1" w:val="clear"/>
      <w:spacing w:after="0" w:line="240" w:lineRule="auto"/>
      <w:jc w:val="both"/>
    </w:pPr>
    <w:rPr>
      <w:smallCaps w:val="1"/>
    </w:rPr>
  </w:style>
  <w:style w:type="paragraph" w:styleId="Heading3">
    <w:name w:val="heading 3"/>
    <w:basedOn w:val="Normal"/>
    <w:next w:val="Normal"/>
    <w:pPr>
      <w:pBdr>
        <w:top w:color="4f81bd" w:space="2" w:sz="6" w:val="single"/>
        <w:left w:color="4f81bd" w:space="2" w:sz="6" w:val="single"/>
      </w:pBdr>
      <w:spacing w:after="0" w:before="300" w:line="240" w:lineRule="auto"/>
      <w:jc w:val="both"/>
    </w:pPr>
    <w:rPr>
      <w:smallCaps w:val="1"/>
      <w:color w:val="243f60"/>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40.0" w:type="dxa"/>
        <w:left w:w="80.0" w:type="dxa"/>
        <w:bottom w:w="40.0" w:type="dxa"/>
        <w:right w:w="80.0" w:type="dxa"/>
      </w:tblCellMar>
    </w:tblPr>
  </w:style>
  <w:style w:type="table" w:styleId="Table2">
    <w:basedOn w:val="TableNormal"/>
    <w:tblPr>
      <w:tblStyleRowBandSize w:val="1"/>
      <w:tblStyleColBandSize w:val="1"/>
      <w:tblCellMar>
        <w:top w:w="40.0" w:type="dxa"/>
        <w:left w:w="80.0" w:type="dxa"/>
        <w:bottom w:w="40.0" w:type="dxa"/>
        <w:right w:w="80.0" w:type="dxa"/>
      </w:tblCellMar>
    </w:tblPr>
  </w:style>
  <w:style w:type="table" w:styleId="Table3">
    <w:basedOn w:val="TableNormal"/>
    <w:tblPr>
      <w:tblStyleRowBandSize w:val="1"/>
      <w:tblStyleColBandSize w:val="1"/>
      <w:tblCellMar>
        <w:top w:w="40.0" w:type="dxa"/>
        <w:left w:w="80.0" w:type="dxa"/>
        <w:bottom w:w="40.0" w:type="dxa"/>
        <w:right w:w="80.0" w:type="dxa"/>
      </w:tblCellMar>
    </w:tblPr>
  </w:style>
  <w:style w:type="table" w:styleId="Table4">
    <w:basedOn w:val="TableNormal"/>
    <w:tblPr>
      <w:tblStyleRowBandSize w:val="1"/>
      <w:tblStyleColBandSize w:val="1"/>
      <w:tblCellMar>
        <w:top w:w="40.0" w:type="dxa"/>
        <w:left w:w="80.0" w:type="dxa"/>
        <w:bottom w:w="40.0" w:type="dxa"/>
        <w:right w:w="80.0" w:type="dxa"/>
      </w:tblCellMar>
    </w:tblPr>
  </w:style>
  <w:style w:type="table" w:styleId="Table5">
    <w:basedOn w:val="TableNormal"/>
    <w:tblPr>
      <w:tblStyleRowBandSize w:val="1"/>
      <w:tblStyleColBandSize w:val="1"/>
      <w:tblCellMar>
        <w:top w:w="40.0" w:type="dxa"/>
        <w:left w:w="80.0" w:type="dxa"/>
        <w:bottom w:w="40.0" w:type="dxa"/>
        <w:right w:w="80.0" w:type="dxa"/>
      </w:tblCellMar>
    </w:tblPr>
  </w:style>
  <w:style w:type="table" w:styleId="Table6">
    <w:basedOn w:val="TableNormal"/>
    <w:tblPr>
      <w:tblStyleRowBandSize w:val="1"/>
      <w:tblStyleColBandSize w:val="1"/>
      <w:tblCellMar>
        <w:top w:w="40.0" w:type="dxa"/>
        <w:left w:w="80.0" w:type="dxa"/>
        <w:bottom w:w="40.0" w:type="dxa"/>
        <w:right w:w="80.0" w:type="dxa"/>
      </w:tblCellMar>
    </w:tblPr>
  </w:style>
  <w:style w:type="table" w:styleId="Table7">
    <w:basedOn w:val="TableNormal"/>
    <w:tblPr>
      <w:tblStyleRowBandSize w:val="1"/>
      <w:tblStyleColBandSize w:val="1"/>
      <w:tblCellMar>
        <w:top w:w="40.0" w:type="dxa"/>
        <w:left w:w="80.0" w:type="dxa"/>
        <w:bottom w:w="40.0" w:type="dxa"/>
        <w:right w:w="80.0" w:type="dxa"/>
      </w:tblCellMar>
    </w:tblPr>
  </w:style>
  <w:style w:type="table" w:styleId="Table8">
    <w:basedOn w:val="TableNormal"/>
    <w:tblPr>
      <w:tblStyleRowBandSize w:val="1"/>
      <w:tblStyleColBandSize w:val="1"/>
      <w:tblCellMar>
        <w:top w:w="40.0" w:type="dxa"/>
        <w:left w:w="80.0" w:type="dxa"/>
        <w:bottom w:w="40.0" w:type="dxa"/>
        <w:right w:w="80.0" w:type="dxa"/>
      </w:tblCellMar>
    </w:tblPr>
  </w:style>
  <w:style w:type="table" w:styleId="Table9">
    <w:basedOn w:val="TableNormal"/>
    <w:tblPr>
      <w:tblStyleRowBandSize w:val="1"/>
      <w:tblStyleColBandSize w:val="1"/>
      <w:tblCellMar>
        <w:top w:w="40.0" w:type="dxa"/>
        <w:left w:w="80.0" w:type="dxa"/>
        <w:bottom w:w="40.0" w:type="dxa"/>
        <w:right w:w="80.0" w:type="dxa"/>
      </w:tblCellMar>
    </w:tblPr>
  </w:style>
  <w:style w:type="table" w:styleId="Table10">
    <w:basedOn w:val="TableNormal"/>
    <w:tblPr>
      <w:tblStyleRowBandSize w:val="1"/>
      <w:tblStyleColBandSize w:val="1"/>
      <w:tblCellMar>
        <w:top w:w="40.0" w:type="dxa"/>
        <w:left w:w="80.0" w:type="dxa"/>
        <w:bottom w:w="40.0" w:type="dxa"/>
        <w:right w:w="80.0" w:type="dxa"/>
      </w:tblCellMar>
    </w:tblPr>
  </w:style>
  <w:style w:type="table" w:styleId="Table11">
    <w:basedOn w:val="TableNormal"/>
    <w:tblPr>
      <w:tblStyleRowBandSize w:val="1"/>
      <w:tblStyleColBandSize w:val="1"/>
      <w:tblCellMar>
        <w:top w:w="40.0" w:type="dxa"/>
        <w:left w:w="80.0" w:type="dxa"/>
        <w:bottom w:w="40.0" w:type="dxa"/>
        <w:right w:w="80.0" w:type="dxa"/>
      </w:tblCellMar>
    </w:tblPr>
  </w:style>
  <w:style w:type="table" w:styleId="Table12">
    <w:basedOn w:val="TableNormal"/>
    <w:tblPr>
      <w:tblStyleRowBandSize w:val="1"/>
      <w:tblStyleColBandSize w:val="1"/>
      <w:tblCellMar>
        <w:top w:w="40.0" w:type="dxa"/>
        <w:left w:w="80.0" w:type="dxa"/>
        <w:bottom w:w="40.0" w:type="dxa"/>
        <w:right w:w="80.0" w:type="dxa"/>
      </w:tblCellMar>
    </w:tblPr>
  </w:style>
  <w:style w:type="table" w:styleId="Table13">
    <w:basedOn w:val="TableNormal"/>
    <w:tblPr>
      <w:tblStyleRowBandSize w:val="1"/>
      <w:tblStyleColBandSize w:val="1"/>
      <w:tblCellMar>
        <w:top w:w="40.0" w:type="dxa"/>
        <w:left w:w="80.0" w:type="dxa"/>
        <w:bottom w:w="40.0" w:type="dxa"/>
        <w:right w:w="80.0" w:type="dxa"/>
      </w:tblCellMar>
    </w:tblPr>
  </w:style>
  <w:style w:type="table" w:styleId="Table14">
    <w:basedOn w:val="TableNormal"/>
    <w:tblPr>
      <w:tblStyleRowBandSize w:val="1"/>
      <w:tblStyleColBandSize w:val="1"/>
      <w:tblCellMar>
        <w:top w:w="40.0" w:type="dxa"/>
        <w:left w:w="80.0" w:type="dxa"/>
        <w:bottom w:w="40.0" w:type="dxa"/>
        <w:right w:w="80.0" w:type="dxa"/>
      </w:tblCellMar>
    </w:tblPr>
  </w:style>
  <w:style w:type="table" w:styleId="Table15">
    <w:basedOn w:val="TableNormal"/>
    <w:tblPr>
      <w:tblStyleRowBandSize w:val="1"/>
      <w:tblStyleColBandSize w:val="1"/>
      <w:tblCellMar>
        <w:top w:w="40.0" w:type="dxa"/>
        <w:left w:w="80.0" w:type="dxa"/>
        <w:bottom w:w="40.0" w:type="dxa"/>
        <w:right w:w="8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10.png"/><Relationship Id="rId10" Type="http://schemas.openxmlformats.org/officeDocument/2006/relationships/image" Target="media/image5.png"/><Relationship Id="rId13" Type="http://schemas.openxmlformats.org/officeDocument/2006/relationships/image" Target="media/image11.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4.png"/><Relationship Id="rId17" Type="http://schemas.openxmlformats.org/officeDocument/2006/relationships/image" Target="media/image2.png"/><Relationship Id="rId16" Type="http://schemas.openxmlformats.org/officeDocument/2006/relationships/image" Target="media/image3.png"/><Relationship Id="rId5" Type="http://schemas.openxmlformats.org/officeDocument/2006/relationships/styles" Target="styles.xml"/><Relationship Id="rId19" Type="http://schemas.openxmlformats.org/officeDocument/2006/relationships/hyperlink" Target="https://github.com/SofiaGMiranda/tp1-thyroid-dmt" TargetMode="External"/><Relationship Id="rId6" Type="http://schemas.openxmlformats.org/officeDocument/2006/relationships/customXml" Target="../customXML/item1.xml"/><Relationship Id="rId18" Type="http://schemas.openxmlformats.org/officeDocument/2006/relationships/hyperlink" Target="https://www.kaggle.com/datasets/bhargavchirumamilla/thyroid-cancer-risk-dataset" TargetMode="External"/><Relationship Id="rId7" Type="http://schemas.openxmlformats.org/officeDocument/2006/relationships/image" Target="media/image6.jp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ZeFjnFM2Dp1V4L66l2mIlqcg2w==">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2026-10-05T13:38:00Z</dcterms:created>
</cp:coreProperties>
</file>