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111B7" w14:textId="77777777" w:rsidR="00A21BF2" w:rsidRDefault="00FB2279">
      <w:pPr>
        <w:spacing w:after="160" w:line="259" w:lineRule="auto"/>
        <w:jc w:val="center"/>
      </w:pPr>
      <w:r>
        <w:rPr>
          <w:noProof/>
        </w:rPr>
        <w:drawing>
          <wp:inline distT="114300" distB="114300" distL="114300" distR="114300" wp14:anchorId="36E491F8" wp14:editId="79C0B952">
            <wp:extent cx="939800" cy="939800"/>
            <wp:effectExtent l="0" t="0" r="0" b="0"/>
            <wp:docPr id="1" name="image1.jpg" descr="Resultado de imagen para LOGO UP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Resultado de imagen para LOGO UPC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398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817B43" w14:textId="77777777" w:rsidR="00A21BF2" w:rsidRDefault="00FB2279">
      <w:pPr>
        <w:spacing w:after="160" w:line="480" w:lineRule="auto"/>
        <w:jc w:val="center"/>
        <w:rPr>
          <w:b/>
          <w:bCs/>
          <w:sz w:val="4"/>
          <w:szCs w:val="4"/>
        </w:rPr>
      </w:pPr>
      <w:r>
        <w:rPr>
          <w:b/>
          <w:bCs/>
          <w:sz w:val="4"/>
          <w:szCs w:val="4"/>
        </w:rPr>
        <w:t xml:space="preserve"> </w:t>
      </w:r>
    </w:p>
    <w:p w14:paraId="636294C0" w14:textId="77777777" w:rsidR="00A21BF2" w:rsidRDefault="00FB2279">
      <w:pPr>
        <w:spacing w:after="160" w:line="48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UNIVERSIDAD PERUANA DE CIENCIAS APLICADAS</w:t>
      </w:r>
    </w:p>
    <w:p w14:paraId="57F17AAA" w14:textId="77777777" w:rsidR="00A21BF2" w:rsidRDefault="00FB2279">
      <w:pPr>
        <w:spacing w:after="160" w:line="48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FACULTAD DE INGENIERÍA</w:t>
      </w:r>
    </w:p>
    <w:p w14:paraId="65FBC1B1" w14:textId="77777777" w:rsidR="00A21BF2" w:rsidRDefault="00FB2279">
      <w:pPr>
        <w:spacing w:after="160" w:line="48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CIENCIAS DE LA COMPUTACIÓN</w:t>
      </w:r>
    </w:p>
    <w:p w14:paraId="06429FC3" w14:textId="77777777" w:rsidR="00A21BF2" w:rsidRDefault="00FB2279">
      <w:pPr>
        <w:spacing w:after="160" w:line="48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CURSO: CC209 - DATA MINING TOOLS</w:t>
      </w:r>
    </w:p>
    <w:p w14:paraId="44F7A400" w14:textId="77777777" w:rsidR="00A21BF2" w:rsidRDefault="00FB2279">
      <w:pPr>
        <w:spacing w:after="160" w:line="48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PROFESOR: CARLOS FERNANDO MONTOYA CUBAS</w:t>
      </w:r>
    </w:p>
    <w:p w14:paraId="6B5B7BA0" w14:textId="77777777" w:rsidR="00A21BF2" w:rsidRDefault="00FB2279">
      <w:pPr>
        <w:spacing w:after="160" w:line="48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NRC: 17496</w:t>
      </w:r>
    </w:p>
    <w:p w14:paraId="2FA28AFC" w14:textId="77777777" w:rsidR="00A21BF2" w:rsidRDefault="00FB2279">
      <w:pPr>
        <w:spacing w:after="160" w:line="48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TRABAJO PARCIAL</w:t>
      </w:r>
    </w:p>
    <w:p w14:paraId="09BAA1B8" w14:textId="77777777" w:rsidR="00A21BF2" w:rsidRDefault="00FB2279">
      <w:pPr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GRUPO: 2</w:t>
      </w:r>
    </w:p>
    <w:p w14:paraId="57DABDD9" w14:textId="77777777" w:rsidR="00A21BF2" w:rsidRDefault="00FB2279">
      <w:pPr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DB21BE6" w14:textId="77777777" w:rsidR="00A21BF2" w:rsidRDefault="00FB2279">
      <w:pPr>
        <w:spacing w:after="160" w:line="48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INTEGRANTES:</w:t>
      </w:r>
    </w:p>
    <w:p w14:paraId="34E5403D" w14:textId="77777777" w:rsidR="00A21BF2" w:rsidRDefault="00A21BF2">
      <w:pPr>
        <w:spacing w:after="16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DE3D66" w14:textId="77777777" w:rsidR="00A21BF2" w:rsidRDefault="00FB2279">
      <w:pPr>
        <w:spacing w:after="1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Gomez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Rubina, Luis David (U20221C621) - Ciencias de la Computación</w:t>
      </w:r>
    </w:p>
    <w:p w14:paraId="3DE658B5" w14:textId="77777777" w:rsidR="00A21BF2" w:rsidRDefault="00FB2279">
      <w:pPr>
        <w:spacing w:after="1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Miranda Cárdenas, Sofía (U20191C439) - Ciencias de la Computación</w:t>
      </w:r>
    </w:p>
    <w:p w14:paraId="48E5EBC0" w14:textId="77777777" w:rsidR="00A21BF2" w:rsidRDefault="00A21BF2">
      <w:pPr>
        <w:spacing w:after="16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791EFFB" w14:textId="77777777" w:rsidR="00A21BF2" w:rsidRDefault="00FB2279">
      <w:pPr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4B031BE" w14:textId="77777777" w:rsidR="00A21BF2" w:rsidRDefault="00FB2279">
      <w:pPr>
        <w:spacing w:after="160" w:line="48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Fecha de Evaluación: Semana 7</w:t>
      </w:r>
    </w:p>
    <w:p w14:paraId="267143C1" w14:textId="77777777" w:rsidR="00A21BF2" w:rsidRDefault="00FB2279">
      <w:pPr>
        <w:spacing w:after="160" w:line="48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Ciclo Académico: 202620</w:t>
      </w:r>
    </w:p>
    <w:p w14:paraId="62411528" w14:textId="77777777" w:rsidR="00A21BF2" w:rsidRDefault="00A21BF2">
      <w:pPr>
        <w:spacing w:after="160" w:line="259" w:lineRule="auto"/>
        <w:jc w:val="center"/>
      </w:pPr>
    </w:p>
    <w:p w14:paraId="75D59BC2" w14:textId="77777777" w:rsidR="00A21BF2" w:rsidRDefault="00A21BF2">
      <w:pPr>
        <w:spacing w:after="160" w:line="259" w:lineRule="auto"/>
        <w:jc w:val="center"/>
      </w:pPr>
    </w:p>
    <w:p w14:paraId="1EC567D3" w14:textId="77777777" w:rsidR="00A21BF2" w:rsidRDefault="00FB2279">
      <w:pPr>
        <w:spacing w:after="160" w:line="259" w:lineRule="auto"/>
        <w:jc w:val="center"/>
        <w:rPr>
          <w:b/>
          <w:bCs/>
          <w:color w:val="000000"/>
        </w:rPr>
      </w:pPr>
      <w:r>
        <w:t xml:space="preserve"> </w:t>
      </w:r>
    </w:p>
    <w:p w14:paraId="162CD75B" w14:textId="77777777" w:rsidR="00A21BF2" w:rsidRDefault="00FB2279">
      <w:pPr>
        <w:pStyle w:val="Subttulo"/>
        <w:keepNext w:val="0"/>
        <w:keepLines w:val="0"/>
        <w:spacing w:before="240" w:after="240" w:line="240" w:lineRule="auto"/>
        <w:jc w:val="both"/>
        <w:rPr>
          <w:rFonts w:ascii="Calibri" w:eastAsia="Calibri" w:hAnsi="Calibri" w:cs="Calibri"/>
          <w:b/>
          <w:bCs/>
          <w:i w:val="0"/>
          <w:iCs w:val="0"/>
          <w:color w:val="1F497D"/>
          <w:sz w:val="28"/>
          <w:szCs w:val="28"/>
        </w:rPr>
      </w:pPr>
      <w:bookmarkStart w:id="0" w:name="_a1u5m2v2rhy" w:colFirst="0" w:colLast="0"/>
      <w:bookmarkEnd w:id="0"/>
      <w:r>
        <w:rPr>
          <w:rFonts w:ascii="Calibri" w:eastAsia="Calibri" w:hAnsi="Calibri" w:cs="Calibri"/>
          <w:b/>
          <w:bCs/>
          <w:i w:val="0"/>
          <w:iCs w:val="0"/>
          <w:color w:val="000000"/>
          <w:sz w:val="28"/>
          <w:szCs w:val="28"/>
        </w:rPr>
        <w:t>Índice de Contenidos</w:t>
      </w:r>
    </w:p>
    <w:p w14:paraId="514E7F65" w14:textId="77777777" w:rsidR="00A21BF2" w:rsidRDefault="00FB2279">
      <w:pPr>
        <w:spacing w:before="100" w:after="40"/>
      </w:pPr>
      <w:r>
        <w:rPr>
          <w:rFonts w:ascii="Arial" w:eastAsia="Arial" w:hAnsi="Arial" w:cs="Arial"/>
          <w:b/>
          <w:bCs/>
        </w:rPr>
        <w:t>1. Definición del Problema</w:t>
      </w:r>
    </w:p>
    <w:p w14:paraId="4B7A2E84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1.1 Contexto del problema</w:t>
      </w:r>
    </w:p>
    <w:p w14:paraId="29575C37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1.2 Necesidad o situación que se desea abordar</w:t>
      </w:r>
    </w:p>
    <w:p w14:paraId="177970CA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1.3 Unidad de análisis</w:t>
      </w:r>
    </w:p>
    <w:p w14:paraId="28E8C1D0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1.4 Pregunta principal del proyecto</w:t>
      </w:r>
    </w:p>
    <w:p w14:paraId="04600688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 xml:space="preserve">1.5 Tipo de problema de Data </w:t>
      </w:r>
      <w:proofErr w:type="spellStart"/>
      <w:r>
        <w:rPr>
          <w:rFonts w:ascii="Arial" w:eastAsia="Arial" w:hAnsi="Arial" w:cs="Arial"/>
        </w:rPr>
        <w:t>Science</w:t>
      </w:r>
      <w:proofErr w:type="spellEnd"/>
    </w:p>
    <w:p w14:paraId="72E74B32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1.6 Utilidad esperada de la solución</w:t>
      </w:r>
    </w:p>
    <w:p w14:paraId="2E3CBB6B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 xml:space="preserve">1.7 Criterios bajo los </w:t>
      </w:r>
      <w:r>
        <w:rPr>
          <w:rFonts w:ascii="Arial" w:eastAsia="Arial" w:hAnsi="Arial" w:cs="Arial"/>
        </w:rPr>
        <w:t>cuales se considerará útil el resultado</w:t>
      </w:r>
    </w:p>
    <w:p w14:paraId="6AEED441" w14:textId="77777777" w:rsidR="00A21BF2" w:rsidRDefault="00FB2279">
      <w:pPr>
        <w:spacing w:before="100" w:after="40"/>
      </w:pPr>
      <w:r>
        <w:rPr>
          <w:rFonts w:ascii="Arial" w:eastAsia="Arial" w:hAnsi="Arial" w:cs="Arial"/>
          <w:b/>
          <w:bCs/>
        </w:rPr>
        <w:t xml:space="preserve">2. </w:t>
      </w:r>
      <w:proofErr w:type="spellStart"/>
      <w:r>
        <w:rPr>
          <w:rFonts w:ascii="Arial" w:eastAsia="Arial" w:hAnsi="Arial" w:cs="Arial"/>
          <w:b/>
          <w:bCs/>
        </w:rPr>
        <w:t>Dataset</w:t>
      </w:r>
      <w:proofErr w:type="spellEnd"/>
      <w:r>
        <w:rPr>
          <w:rFonts w:ascii="Arial" w:eastAsia="Arial" w:hAnsi="Arial" w:cs="Arial"/>
          <w:b/>
          <w:bCs/>
        </w:rPr>
        <w:t xml:space="preserve"> y Procedencia</w:t>
      </w:r>
    </w:p>
    <w:p w14:paraId="6751C064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2.1 Fuente y procedencia</w:t>
      </w:r>
    </w:p>
    <w:p w14:paraId="464EA30E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2.2 Número de observaciones y variables</w:t>
      </w:r>
    </w:p>
    <w:p w14:paraId="51D22B0C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2.3 Período temporal</w:t>
      </w:r>
    </w:p>
    <w:p w14:paraId="06CA58D5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2.4 Variable objetivo</w:t>
      </w:r>
    </w:p>
    <w:p w14:paraId="1BBEA551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2.5 Diccionario de variables relevante</w:t>
      </w:r>
    </w:p>
    <w:p w14:paraId="7BD8E844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2.6 Licencia o condiciones de uso</w:t>
      </w:r>
    </w:p>
    <w:p w14:paraId="4B5382B8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2.7 Limita</w:t>
      </w:r>
      <w:r>
        <w:rPr>
          <w:rFonts w:ascii="Arial" w:eastAsia="Arial" w:hAnsi="Arial" w:cs="Arial"/>
        </w:rPr>
        <w:t xml:space="preserve">ciones conocidas del </w:t>
      </w:r>
      <w:proofErr w:type="spellStart"/>
      <w:r>
        <w:rPr>
          <w:rFonts w:ascii="Arial" w:eastAsia="Arial" w:hAnsi="Arial" w:cs="Arial"/>
        </w:rPr>
        <w:t>dataset</w:t>
      </w:r>
      <w:proofErr w:type="spellEnd"/>
    </w:p>
    <w:p w14:paraId="5DCABD29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 xml:space="preserve">2.8 Justificación de por qué el </w:t>
      </w:r>
      <w:proofErr w:type="spellStart"/>
      <w:r>
        <w:rPr>
          <w:rFonts w:ascii="Arial" w:eastAsia="Arial" w:hAnsi="Arial" w:cs="Arial"/>
        </w:rPr>
        <w:t>dataset</w:t>
      </w:r>
      <w:proofErr w:type="spellEnd"/>
      <w:r>
        <w:rPr>
          <w:rFonts w:ascii="Arial" w:eastAsia="Arial" w:hAnsi="Arial" w:cs="Arial"/>
        </w:rPr>
        <w:t xml:space="preserve"> es adecuado para el problema</w:t>
      </w:r>
    </w:p>
    <w:p w14:paraId="45C7B273" w14:textId="77777777" w:rsidR="00A21BF2" w:rsidRDefault="00FB2279">
      <w:pPr>
        <w:spacing w:before="100" w:after="40"/>
      </w:pPr>
      <w:r>
        <w:rPr>
          <w:rFonts w:ascii="Arial" w:eastAsia="Arial" w:hAnsi="Arial" w:cs="Arial"/>
          <w:b/>
          <w:bCs/>
        </w:rPr>
        <w:t>3. Análisis Exploratorio de Datos (EDA)</w:t>
      </w:r>
    </w:p>
    <w:p w14:paraId="1915B67A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3.1 Distribuciones relevantes</w:t>
      </w:r>
    </w:p>
    <w:p w14:paraId="710631D8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3.2 Análisis de la variable objetivo</w:t>
      </w:r>
    </w:p>
    <w:p w14:paraId="15B32F45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3.3 Relaciones entre variables</w:t>
      </w:r>
    </w:p>
    <w:p w14:paraId="16293107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3.4 Diferencias entr</w:t>
      </w:r>
      <w:r>
        <w:rPr>
          <w:rFonts w:ascii="Arial" w:eastAsia="Arial" w:hAnsi="Arial" w:cs="Arial"/>
        </w:rPr>
        <w:t>e grupos</w:t>
      </w:r>
    </w:p>
    <w:p w14:paraId="454A8D8B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3.5 Posibles patrones y anomalías</w:t>
      </w:r>
    </w:p>
    <w:p w14:paraId="5824E995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3.6 Problemas de calidad que condicionen decisiones posteriores</w:t>
      </w:r>
    </w:p>
    <w:p w14:paraId="1B21DC09" w14:textId="77777777" w:rsidR="00A21BF2" w:rsidRDefault="00FB2279">
      <w:pPr>
        <w:spacing w:before="100" w:after="40"/>
      </w:pPr>
      <w:r>
        <w:rPr>
          <w:rFonts w:ascii="Arial" w:eastAsia="Arial" w:hAnsi="Arial" w:cs="Arial"/>
          <w:b/>
          <w:bCs/>
        </w:rPr>
        <w:t>4. Calidad y Preparación de Datos</w:t>
      </w:r>
    </w:p>
    <w:p w14:paraId="7D03161D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4.1 Valores faltantes</w:t>
      </w:r>
    </w:p>
    <w:p w14:paraId="7A74565C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4.2 Duplicados</w:t>
      </w:r>
    </w:p>
    <w:p w14:paraId="5C220321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4.3 Tipos de datos</w:t>
      </w:r>
    </w:p>
    <w:p w14:paraId="1FDEDEA2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4.4 Categorías inconsistentes</w:t>
      </w:r>
    </w:p>
    <w:p w14:paraId="440FB7EE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 xml:space="preserve">4.5 </w:t>
      </w:r>
      <w:proofErr w:type="spellStart"/>
      <w:r>
        <w:rPr>
          <w:rFonts w:ascii="Arial" w:eastAsia="Arial" w:hAnsi="Arial" w:cs="Arial"/>
        </w:rPr>
        <w:t>Outliers</w:t>
      </w:r>
      <w:proofErr w:type="spellEnd"/>
      <w:r>
        <w:rPr>
          <w:rFonts w:ascii="Arial" w:eastAsia="Arial" w:hAnsi="Arial" w:cs="Arial"/>
        </w:rPr>
        <w:t xml:space="preserve"> o valores extremos</w:t>
      </w:r>
    </w:p>
    <w:p w14:paraId="2A0FFF74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4.6 Reglas lógicas o de negocio</w:t>
      </w:r>
    </w:p>
    <w:p w14:paraId="42C7BE63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4.7 Transformaciones realizadas</w:t>
      </w:r>
    </w:p>
    <w:p w14:paraId="03DFAD1E" w14:textId="77777777" w:rsidR="00A21BF2" w:rsidRDefault="00FB2279">
      <w:pPr>
        <w:spacing w:before="100" w:after="40"/>
      </w:pPr>
      <w:r>
        <w:rPr>
          <w:rFonts w:ascii="Arial" w:eastAsia="Arial" w:hAnsi="Arial" w:cs="Arial"/>
          <w:b/>
          <w:bCs/>
        </w:rPr>
        <w:t>5. Separación de Datos</w:t>
      </w:r>
    </w:p>
    <w:p w14:paraId="37010083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5.1 Estrategia de separación</w:t>
      </w:r>
    </w:p>
    <w:p w14:paraId="3C7D664D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lastRenderedPageBreak/>
        <w:t>5.2 Proporciones utilizadas</w:t>
      </w:r>
    </w:p>
    <w:p w14:paraId="31CA611B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5.3 Razón de dicha elección</w:t>
      </w:r>
    </w:p>
    <w:p w14:paraId="3BFC0713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 xml:space="preserve">5.4 Medidas adoptadas para evitar data </w:t>
      </w:r>
      <w:proofErr w:type="spellStart"/>
      <w:r>
        <w:rPr>
          <w:rFonts w:ascii="Arial" w:eastAsia="Arial" w:hAnsi="Arial" w:cs="Arial"/>
        </w:rPr>
        <w:t>leakage</w:t>
      </w:r>
      <w:proofErr w:type="spellEnd"/>
    </w:p>
    <w:p w14:paraId="4EA83B91" w14:textId="77777777" w:rsidR="00A21BF2" w:rsidRDefault="00FB2279">
      <w:pPr>
        <w:spacing w:before="100" w:after="40"/>
      </w:pPr>
      <w:r>
        <w:rPr>
          <w:rFonts w:ascii="Arial" w:eastAsia="Arial" w:hAnsi="Arial" w:cs="Arial"/>
          <w:b/>
          <w:bCs/>
        </w:rPr>
        <w:t>6. Fl</w:t>
      </w:r>
      <w:r>
        <w:rPr>
          <w:rFonts w:ascii="Arial" w:eastAsia="Arial" w:hAnsi="Arial" w:cs="Arial"/>
          <w:b/>
          <w:bCs/>
        </w:rPr>
        <w:t>ujo Reproducible de Preprocesamiento</w:t>
      </w:r>
    </w:p>
    <w:p w14:paraId="27021773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6.1 Matriz de decisiones de herramientas</w:t>
      </w:r>
    </w:p>
    <w:p w14:paraId="164A4E3A" w14:textId="77777777" w:rsidR="00A21BF2" w:rsidRDefault="00FB2279">
      <w:pPr>
        <w:spacing w:before="100" w:after="40"/>
      </w:pPr>
      <w:r>
        <w:rPr>
          <w:rFonts w:ascii="Arial" w:eastAsia="Arial" w:hAnsi="Arial" w:cs="Arial"/>
          <w:b/>
          <w:bCs/>
        </w:rPr>
        <w:t xml:space="preserve">7. </w:t>
      </w:r>
      <w:proofErr w:type="spellStart"/>
      <w:r>
        <w:rPr>
          <w:rFonts w:ascii="Arial" w:eastAsia="Arial" w:hAnsi="Arial" w:cs="Arial"/>
          <w:b/>
          <w:bCs/>
        </w:rPr>
        <w:t>Baseline</w:t>
      </w:r>
      <w:proofErr w:type="spellEnd"/>
    </w:p>
    <w:p w14:paraId="3BA7CA6E" w14:textId="77777777" w:rsidR="00A21BF2" w:rsidRDefault="00FB2279">
      <w:pPr>
        <w:spacing w:before="100" w:after="40"/>
      </w:pPr>
      <w:r>
        <w:rPr>
          <w:rFonts w:ascii="Arial" w:eastAsia="Arial" w:hAnsi="Arial" w:cs="Arial"/>
          <w:b/>
          <w:bCs/>
        </w:rPr>
        <w:t>8. Modelos Preliminares</w:t>
      </w:r>
    </w:p>
    <w:p w14:paraId="2F0DC31E" w14:textId="77777777" w:rsidR="00A21BF2" w:rsidRDefault="00FB2279">
      <w:pPr>
        <w:spacing w:before="100" w:after="40"/>
      </w:pPr>
      <w:r>
        <w:rPr>
          <w:rFonts w:ascii="Arial" w:eastAsia="Arial" w:hAnsi="Arial" w:cs="Arial"/>
          <w:b/>
          <w:bCs/>
        </w:rPr>
        <w:t>9. Evaluación Preliminar</w:t>
      </w:r>
    </w:p>
    <w:p w14:paraId="3E03119E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9.1 Métricas seleccionadas y justificación</w:t>
      </w:r>
    </w:p>
    <w:p w14:paraId="16C7AB53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9.2 Resultados en el conjunto de validación</w:t>
      </w:r>
    </w:p>
    <w:p w14:paraId="0504493A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9.3 Análisis del umbral de decisión</w:t>
      </w:r>
    </w:p>
    <w:p w14:paraId="1079E0C8" w14:textId="77777777" w:rsidR="00A21BF2" w:rsidRDefault="00FB2279">
      <w:pPr>
        <w:spacing w:after="40"/>
        <w:ind w:left="425"/>
      </w:pPr>
      <w:r>
        <w:rPr>
          <w:rFonts w:ascii="Arial" w:eastAsia="Arial" w:hAnsi="Arial" w:cs="Arial"/>
        </w:rPr>
        <w:t>9.4 Interpretación de los resultados</w:t>
      </w:r>
    </w:p>
    <w:p w14:paraId="2EB120AA" w14:textId="77777777" w:rsidR="00A21BF2" w:rsidRDefault="00FB2279">
      <w:pPr>
        <w:spacing w:before="100" w:after="40"/>
      </w:pPr>
      <w:r>
        <w:rPr>
          <w:rFonts w:ascii="Arial" w:eastAsia="Arial" w:hAnsi="Arial" w:cs="Arial"/>
          <w:b/>
          <w:bCs/>
        </w:rPr>
        <w:t>10. Estado del Proyecto y Plan hacia el TF1</w:t>
      </w:r>
    </w:p>
    <w:p w14:paraId="5C3EE296" w14:textId="77777777" w:rsidR="00A21BF2" w:rsidRDefault="00FB2279">
      <w:pPr>
        <w:spacing w:before="100" w:after="40"/>
      </w:pPr>
      <w:r>
        <w:rPr>
          <w:rFonts w:ascii="Arial" w:eastAsia="Arial" w:hAnsi="Arial" w:cs="Arial"/>
          <w:b/>
          <w:bCs/>
        </w:rPr>
        <w:t>Glosario</w:t>
      </w:r>
    </w:p>
    <w:p w14:paraId="7387839C" w14:textId="77777777" w:rsidR="00A21BF2" w:rsidRDefault="00FB2279">
      <w:pPr>
        <w:spacing w:before="100" w:after="40"/>
      </w:pPr>
      <w:r>
        <w:rPr>
          <w:rFonts w:ascii="Arial" w:eastAsia="Arial" w:hAnsi="Arial" w:cs="Arial"/>
          <w:b/>
          <w:bCs/>
        </w:rPr>
        <w:t>Siglario</w:t>
      </w:r>
    </w:p>
    <w:p w14:paraId="30D0DFD3" w14:textId="77777777" w:rsidR="00A21BF2" w:rsidRDefault="00FB2279">
      <w:pPr>
        <w:spacing w:before="100" w:after="40"/>
      </w:pPr>
      <w:r>
        <w:rPr>
          <w:rFonts w:ascii="Arial" w:eastAsia="Arial" w:hAnsi="Arial" w:cs="Arial"/>
          <w:b/>
          <w:bCs/>
        </w:rPr>
        <w:t>Bibliografía</w:t>
      </w:r>
    </w:p>
    <w:p w14:paraId="582767B6" w14:textId="77777777" w:rsidR="00A21BF2" w:rsidRDefault="00FB2279">
      <w:r>
        <w:br w:type="page"/>
      </w:r>
    </w:p>
    <w:p w14:paraId="7AC28496" w14:textId="77777777" w:rsidR="00A21BF2" w:rsidRDefault="00FB2279">
      <w:pPr>
        <w:spacing w:before="240" w:after="2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1.Definicion del Problema</w:t>
      </w:r>
    </w:p>
    <w:p w14:paraId="136555AC" w14:textId="77777777" w:rsidR="00A21BF2" w:rsidRDefault="00FB2279">
      <w:pPr>
        <w:spacing w:before="240" w:after="240"/>
        <w:rPr>
          <w:sz w:val="32"/>
          <w:szCs w:val="32"/>
        </w:rPr>
      </w:pPr>
      <w:r>
        <w:rPr>
          <w:b/>
          <w:bCs/>
          <w:sz w:val="32"/>
          <w:szCs w:val="32"/>
        </w:rPr>
        <w:t>1.1</w:t>
      </w: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Contexto del Problema</w:t>
      </w:r>
    </w:p>
    <w:p w14:paraId="31945F9B" w14:textId="77777777" w:rsidR="00A21BF2" w:rsidRDefault="00FB2279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El cáncer </w:t>
      </w:r>
      <w:r>
        <w:rPr>
          <w:rFonts w:ascii="Arial" w:eastAsia="Arial" w:hAnsi="Arial" w:cs="Arial"/>
          <w:sz w:val="24"/>
          <w:szCs w:val="24"/>
        </w:rPr>
        <w:t>de tiroides es una de las neoplasias malignas del sistema endocrino más comunes a nivel mundial. Su detección temprana y una evaluación precisa del riesgo son fundamentales para definir tratamientos oportunos y evitar intervenciones quirúrgicas innecesaria</w:t>
      </w:r>
      <w:r>
        <w:rPr>
          <w:rFonts w:ascii="Arial" w:eastAsia="Arial" w:hAnsi="Arial" w:cs="Arial"/>
          <w:sz w:val="24"/>
          <w:szCs w:val="24"/>
        </w:rPr>
        <w:t>s en pacientes con nódulos benignos. Sin embargo, la evaluación clínica tradicional depende de múltiples factores complejos (historial clínico, exposición a radiación, niveles de hormonas tiroideas como TSH, T3, T4 y características físicas del nódulo como</w:t>
      </w:r>
      <w:r>
        <w:rPr>
          <w:rFonts w:ascii="Arial" w:eastAsia="Arial" w:hAnsi="Arial" w:cs="Arial"/>
          <w:sz w:val="24"/>
          <w:szCs w:val="24"/>
        </w:rPr>
        <w:t xml:space="preserve"> su tamaño), lo que puede generar variabilidad en el diagnóstico y retrasos en la identificación de pacientes de alto riesgo. </w:t>
      </w:r>
    </w:p>
    <w:p w14:paraId="24249906" w14:textId="77777777" w:rsidR="00A21BF2" w:rsidRDefault="00FB2279">
      <w:pPr>
        <w:spacing w:before="240" w:after="240"/>
        <w:rPr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1.2  Necesidad</w:t>
      </w:r>
      <w:proofErr w:type="gramEnd"/>
      <w:r>
        <w:rPr>
          <w:b/>
          <w:bCs/>
          <w:sz w:val="32"/>
          <w:szCs w:val="32"/>
        </w:rPr>
        <w:t xml:space="preserve"> o situación que se desea abordar</w:t>
      </w:r>
    </w:p>
    <w:p w14:paraId="2B0F3B3F" w14:textId="77777777" w:rsidR="00A21BF2" w:rsidRDefault="00FB2279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Existe la necesidad de automatizar y optimizar el proceso de estratificación del riesgo y diagnóstico del cáncer de tiroides basándose en datos clínicos e historiales de los pacientes. Actualmente, los médicos se enfrentan al reto de integrar una gran cant</w:t>
      </w:r>
      <w:r>
        <w:rPr>
          <w:rFonts w:ascii="Arial" w:eastAsia="Arial" w:hAnsi="Arial" w:cs="Arial"/>
          <w:sz w:val="24"/>
          <w:szCs w:val="24"/>
        </w:rPr>
        <w:t>idad de variables heterogéneas (factores de riesgo genéticos, ambientales, hormonales y biométricas) para determinar si un paciente presenta un riesgo elevado o bajo de desarrollar cáncer, así como si el diagnóstico definitivo será benigno o maligno. Se re</w:t>
      </w:r>
      <w:r>
        <w:rPr>
          <w:rFonts w:ascii="Arial" w:eastAsia="Arial" w:hAnsi="Arial" w:cs="Arial"/>
          <w:sz w:val="24"/>
          <w:szCs w:val="24"/>
        </w:rPr>
        <w:t xml:space="preserve">quiere una herramienta objetiva que apoye la toma de decisiones clínicas para reducir el diagnóstico tardío y las biopsias o cirugías innecesarias. </w:t>
      </w:r>
    </w:p>
    <w:p w14:paraId="02609EFB" w14:textId="77777777" w:rsidR="00A21BF2" w:rsidRDefault="00FB2279">
      <w:pPr>
        <w:spacing w:before="240" w:after="24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1.3 Unidad de análisis </w:t>
      </w:r>
    </w:p>
    <w:p w14:paraId="4FBFB469" w14:textId="77777777" w:rsidR="00A21BF2" w:rsidRDefault="00FB2279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Cada paciente individual registrado en la base de datos (identificado por </w:t>
      </w:r>
      <w:proofErr w:type="spellStart"/>
      <w:r>
        <w:rPr>
          <w:rFonts w:ascii="Arial" w:eastAsia="Arial" w:hAnsi="Arial" w:cs="Arial"/>
          <w:sz w:val="24"/>
          <w:szCs w:val="24"/>
        </w:rPr>
        <w:t>Patient_I</w:t>
      </w:r>
      <w:r>
        <w:rPr>
          <w:rFonts w:ascii="Arial" w:eastAsia="Arial" w:hAnsi="Arial" w:cs="Arial"/>
          <w:sz w:val="24"/>
          <w:szCs w:val="24"/>
        </w:rPr>
        <w:t>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), el cual cuenta con un perfil único que abarca datos demográficos, antecedentes médicos, perfiles hormonales y características clínicas de sus nódulos tiroideos. </w:t>
      </w:r>
    </w:p>
    <w:p w14:paraId="087906F4" w14:textId="77777777" w:rsidR="00A21BF2" w:rsidRDefault="00FB2279">
      <w:pPr>
        <w:spacing w:before="240" w:after="24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1.4 Pregunta principal del proyecto </w:t>
      </w:r>
    </w:p>
    <w:p w14:paraId="260C6ADA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>¿Con qué capacidad se puede distinguir un diagnóstico</w:t>
      </w:r>
      <w:r>
        <w:rPr>
          <w:rFonts w:ascii="Arial" w:eastAsia="Arial" w:hAnsi="Arial" w:cs="Arial"/>
          <w:sz w:val="24"/>
          <w:szCs w:val="24"/>
        </w:rPr>
        <w:t xml:space="preserve"> maligno de uno benigno a partir de las características demográficas, antecedentes de exposición, perfil hormonal (TSH, T3, T4) y tamaño del nódulo tiroideo de un paciente, y qué factores aportan esa capacidad predictiva?</w:t>
      </w:r>
    </w:p>
    <w:p w14:paraId="456BE71D" w14:textId="77777777" w:rsidR="00A21BF2" w:rsidRDefault="00FB2279">
      <w:pPr>
        <w:spacing w:before="240" w:after="240"/>
        <w:rPr>
          <w:b/>
          <w:bCs/>
          <w:sz w:val="30"/>
          <w:szCs w:val="30"/>
        </w:rPr>
      </w:pPr>
      <w:r>
        <w:rPr>
          <w:b/>
          <w:bCs/>
          <w:sz w:val="32"/>
          <w:szCs w:val="32"/>
        </w:rPr>
        <w:t xml:space="preserve">1.5 Tipo de problema de Data </w:t>
      </w:r>
      <w:proofErr w:type="spellStart"/>
      <w:r>
        <w:rPr>
          <w:b/>
          <w:bCs/>
          <w:sz w:val="32"/>
          <w:szCs w:val="32"/>
        </w:rPr>
        <w:t>Science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578E2D08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>Clasificación binaria supervisada: predecir el diagnóstico final (</w:t>
      </w:r>
      <w:proofErr w:type="spellStart"/>
      <w:r>
        <w:rPr>
          <w:rFonts w:ascii="Arial" w:eastAsia="Arial" w:hAnsi="Arial" w:cs="Arial"/>
          <w:sz w:val="24"/>
          <w:szCs w:val="24"/>
        </w:rPr>
        <w:t>Benign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vs. </w:t>
      </w:r>
      <w:proofErr w:type="spellStart"/>
      <w:r>
        <w:rPr>
          <w:rFonts w:ascii="Arial" w:eastAsia="Arial" w:hAnsi="Arial" w:cs="Arial"/>
          <w:sz w:val="24"/>
          <w:szCs w:val="24"/>
        </w:rPr>
        <w:t>Malignant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) a partir de las variables del paciente. Las clases están desbalanceadas (23.3 % malignos). La variable </w:t>
      </w:r>
      <w:proofErr w:type="spellStart"/>
      <w:r>
        <w:rPr>
          <w:rFonts w:ascii="Arial" w:eastAsia="Arial" w:hAnsi="Arial" w:cs="Arial"/>
          <w:sz w:val="24"/>
          <w:szCs w:val="24"/>
        </w:rPr>
        <w:t>Thyroid_Cancer_Risk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no se m</w:t>
      </w:r>
      <w:r>
        <w:rPr>
          <w:rFonts w:ascii="Arial" w:eastAsia="Arial" w:hAnsi="Arial" w:cs="Arial"/>
          <w:sz w:val="24"/>
          <w:szCs w:val="24"/>
        </w:rPr>
        <w:t>odela como objetivo: se utiliza únicamente como regla de referencia (ver secciones 3.5 y 7).</w:t>
      </w:r>
    </w:p>
    <w:p w14:paraId="04628286" w14:textId="77777777" w:rsidR="00A21BF2" w:rsidRDefault="00A21BF2">
      <w:pPr>
        <w:spacing w:before="240" w:after="240"/>
        <w:rPr>
          <w:rFonts w:ascii="Arial" w:eastAsia="Arial" w:hAnsi="Arial" w:cs="Arial"/>
        </w:rPr>
      </w:pPr>
    </w:p>
    <w:p w14:paraId="5235F066" w14:textId="77777777" w:rsidR="00A21BF2" w:rsidRDefault="00FB2279">
      <w:pPr>
        <w:spacing w:before="240" w:after="24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1.6 Utilidad esperada de la solución </w:t>
      </w:r>
    </w:p>
    <w:p w14:paraId="7A5448DA" w14:textId="77777777" w:rsidR="00A21BF2" w:rsidRDefault="00FB2279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Apoyo a la decisión clínica (CDS): Proveer a los endocrinólogos y oncólogos una herramienta predictiva rápida y confiable qu</w:t>
      </w:r>
      <w:r>
        <w:rPr>
          <w:rFonts w:ascii="Arial" w:eastAsia="Arial" w:hAnsi="Arial" w:cs="Arial"/>
          <w:sz w:val="24"/>
          <w:szCs w:val="24"/>
        </w:rPr>
        <w:t>e complemente el juicio médico experto.</w:t>
      </w:r>
      <w:r>
        <w:rPr>
          <w:rFonts w:ascii="Arial" w:eastAsia="Arial" w:hAnsi="Arial" w:cs="Arial"/>
          <w:sz w:val="24"/>
          <w:szCs w:val="24"/>
        </w:rPr>
        <w:br/>
        <w:t>Optimización de recursos médicos: Reducir la cantidad de procedimientos invasivos (como biopsias o cirugías exploratorias) en pacientes con bajo riesgo o nódulos benignos.</w:t>
      </w:r>
      <w:r>
        <w:rPr>
          <w:rFonts w:ascii="Arial" w:eastAsia="Arial" w:hAnsi="Arial" w:cs="Arial"/>
          <w:sz w:val="24"/>
          <w:szCs w:val="24"/>
        </w:rPr>
        <w:br/>
        <w:t>Detección temprana: Identificar de manera pr</w:t>
      </w:r>
      <w:r>
        <w:rPr>
          <w:rFonts w:ascii="Arial" w:eastAsia="Arial" w:hAnsi="Arial" w:cs="Arial"/>
          <w:sz w:val="24"/>
          <w:szCs w:val="24"/>
        </w:rPr>
        <w:t>oactiva a los pacientes con mayor probabilidad de presentar cuadros malignos, permitiendo iniciar tratamientos oportunos que mejoren el pronóstico de vida.</w:t>
      </w:r>
    </w:p>
    <w:p w14:paraId="0E7BBE32" w14:textId="77777777" w:rsidR="00A21BF2" w:rsidRDefault="00FB2279">
      <w:pPr>
        <w:spacing w:before="240" w:after="24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1.7 Criterios bajo los cuales se considerará útil el resultado </w:t>
      </w:r>
    </w:p>
    <w:p w14:paraId="3C3C4654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Rendimiento predictivo:</w:t>
      </w:r>
      <w:r>
        <w:rPr>
          <w:rFonts w:ascii="Arial" w:eastAsia="Arial" w:hAnsi="Arial" w:cs="Arial"/>
          <w:sz w:val="24"/>
          <w:szCs w:val="24"/>
        </w:rPr>
        <w:t xml:space="preserve"> superar clar</w:t>
      </w:r>
      <w:r>
        <w:rPr>
          <w:rFonts w:ascii="Arial" w:eastAsia="Arial" w:hAnsi="Arial" w:cs="Arial"/>
          <w:sz w:val="24"/>
          <w:szCs w:val="24"/>
        </w:rPr>
        <w:t xml:space="preserve">amente al </w:t>
      </w:r>
      <w:proofErr w:type="spellStart"/>
      <w:r>
        <w:rPr>
          <w:rFonts w:ascii="Arial" w:eastAsia="Arial" w:hAnsi="Arial" w:cs="Arial"/>
          <w:sz w:val="24"/>
          <w:szCs w:val="24"/>
        </w:rPr>
        <w:t>baseline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trivial en ROC-AUC y PR-AUC, y mejorar el </w:t>
      </w:r>
      <w:proofErr w:type="spellStart"/>
      <w:r>
        <w:rPr>
          <w:rFonts w:ascii="Arial" w:eastAsia="Arial" w:hAnsi="Arial" w:cs="Arial"/>
          <w:sz w:val="24"/>
          <w:szCs w:val="24"/>
        </w:rPr>
        <w:t>recall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 la clase </w:t>
      </w:r>
      <w:proofErr w:type="spellStart"/>
      <w:r>
        <w:rPr>
          <w:rFonts w:ascii="Arial" w:eastAsia="Arial" w:hAnsi="Arial" w:cs="Arial"/>
          <w:sz w:val="24"/>
          <w:szCs w:val="24"/>
        </w:rPr>
        <w:t>Malignant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frente a una regla simple del dominio sin elevar de forma desproporcionada los falsos positivos (precisión mínima aceptable a definir en el TF1). </w:t>
      </w:r>
      <w:r>
        <w:rPr>
          <w:rFonts w:ascii="Arial" w:eastAsia="Arial" w:hAnsi="Arial" w:cs="Arial"/>
          <w:b/>
          <w:bCs/>
          <w:sz w:val="24"/>
          <w:szCs w:val="24"/>
        </w:rPr>
        <w:t>Interpretabilidad cl</w:t>
      </w:r>
      <w:r>
        <w:rPr>
          <w:rFonts w:ascii="Arial" w:eastAsia="Arial" w:hAnsi="Arial" w:cs="Arial"/>
          <w:b/>
          <w:bCs/>
          <w:sz w:val="24"/>
          <w:szCs w:val="24"/>
        </w:rPr>
        <w:t>ínica:</w:t>
      </w:r>
      <w:r>
        <w:rPr>
          <w:rFonts w:ascii="Arial" w:eastAsia="Arial" w:hAnsi="Arial" w:cs="Arial"/>
          <w:sz w:val="24"/>
          <w:szCs w:val="24"/>
        </w:rPr>
        <w:t xml:space="preserve"> que el modelo permita identificar qué variables tienen mayor peso y que estas sean coherentes con el conocimiento médico. </w:t>
      </w:r>
      <w:r>
        <w:rPr>
          <w:rFonts w:ascii="Arial" w:eastAsia="Arial" w:hAnsi="Arial" w:cs="Arial"/>
          <w:b/>
          <w:bCs/>
          <w:sz w:val="24"/>
          <w:szCs w:val="24"/>
        </w:rPr>
        <w:t>Uso práctico:</w:t>
      </w:r>
      <w:r>
        <w:rPr>
          <w:rFonts w:ascii="Arial" w:eastAsia="Arial" w:hAnsi="Arial" w:cs="Arial"/>
          <w:sz w:val="24"/>
          <w:szCs w:val="24"/>
        </w:rPr>
        <w:t xml:space="preserve"> que el modelo pueda aplicarse a nuevos pacientes mediante un flujo reproducible (Pipeline) y, en el TF1, una inte</w:t>
      </w:r>
      <w:r>
        <w:rPr>
          <w:rFonts w:ascii="Arial" w:eastAsia="Arial" w:hAnsi="Arial" w:cs="Arial"/>
          <w:sz w:val="24"/>
          <w:szCs w:val="24"/>
        </w:rPr>
        <w:t>rfaz sencilla.</w:t>
      </w:r>
    </w:p>
    <w:p w14:paraId="6F62C6E6" w14:textId="77777777" w:rsidR="00A21BF2" w:rsidRDefault="00FB2279">
      <w:pPr>
        <w:spacing w:before="240" w:after="240"/>
      </w:pPr>
      <w:r>
        <w:br w:type="page"/>
      </w:r>
      <w:r>
        <w:rPr>
          <w:b/>
          <w:bCs/>
          <w:sz w:val="36"/>
          <w:szCs w:val="36"/>
        </w:rPr>
        <w:lastRenderedPageBreak/>
        <w:t xml:space="preserve">2. </w:t>
      </w:r>
      <w:proofErr w:type="spellStart"/>
      <w:r>
        <w:rPr>
          <w:b/>
          <w:bCs/>
          <w:sz w:val="36"/>
          <w:szCs w:val="36"/>
        </w:rPr>
        <w:t>Dataset</w:t>
      </w:r>
      <w:proofErr w:type="spellEnd"/>
      <w:r>
        <w:rPr>
          <w:b/>
          <w:bCs/>
          <w:sz w:val="36"/>
          <w:szCs w:val="36"/>
        </w:rPr>
        <w:t xml:space="preserve"> y Procedencia</w:t>
      </w:r>
    </w:p>
    <w:p w14:paraId="3B756336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2.1 Fuente y procedencia</w:t>
      </w:r>
    </w:p>
    <w:p w14:paraId="216BD99F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 xml:space="preserve">El conjunto de datos proviene de la plataforma pública Kaggle: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Thyroid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Cancer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Risk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Dataset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publicado por </w:t>
      </w:r>
      <w:proofErr w:type="spellStart"/>
      <w:r>
        <w:rPr>
          <w:rFonts w:ascii="Arial" w:eastAsia="Arial" w:hAnsi="Arial" w:cs="Arial"/>
          <w:sz w:val="24"/>
          <w:szCs w:val="24"/>
        </w:rPr>
        <w:t>Bhargav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Chirumamilla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en 2025 (archivo thyroid_cancer_risk_data.csv). Se trata de un </w:t>
      </w:r>
      <w:proofErr w:type="spellStart"/>
      <w:r>
        <w:rPr>
          <w:rFonts w:ascii="Arial" w:eastAsia="Arial" w:hAnsi="Arial" w:cs="Arial"/>
          <w:sz w:val="24"/>
          <w:szCs w:val="24"/>
        </w:rPr>
        <w:t>dataset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publicado con fines educativos y de investigación que reúne información demográfica, antecedentes, perfil hormonal y características del nódulo tiroideo. Disponible en: https://www.kaggle.com/datasets/bhargavchirumamilla/thyroid-cancer-risk-dataset</w:t>
      </w:r>
    </w:p>
    <w:p w14:paraId="41887BC8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2.2 Número de observaciones y variables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100"/>
        <w:gridCol w:w="6200"/>
      </w:tblGrid>
      <w:tr w:rsidR="00A21BF2" w14:paraId="74AD9627" w14:textId="77777777">
        <w:trPr>
          <w:cantSplit/>
          <w:tblHeader/>
          <w:jc w:val="center"/>
        </w:trPr>
        <w:tc>
          <w:tcPr>
            <w:tcW w:w="3100" w:type="dxa"/>
            <w:shd w:val="clear" w:color="auto" w:fill="1F3864"/>
          </w:tcPr>
          <w:p w14:paraId="2C018B6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6200" w:type="dxa"/>
            <w:shd w:val="clear" w:color="auto" w:fill="1F3864"/>
          </w:tcPr>
          <w:p w14:paraId="524D25B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A21BF2" w14:paraId="4DE69B3B" w14:textId="77777777">
        <w:trPr>
          <w:cantSplit/>
          <w:jc w:val="center"/>
        </w:trPr>
        <w:tc>
          <w:tcPr>
            <w:tcW w:w="3100" w:type="dxa"/>
          </w:tcPr>
          <w:p w14:paraId="426655D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Observaciones (pacientes)</w:t>
            </w:r>
          </w:p>
        </w:tc>
        <w:tc>
          <w:tcPr>
            <w:tcW w:w="6200" w:type="dxa"/>
          </w:tcPr>
          <w:p w14:paraId="6AF82D1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212 691</w:t>
            </w:r>
          </w:p>
        </w:tc>
      </w:tr>
      <w:tr w:rsidR="00A21BF2" w14:paraId="32DAAE64" w14:textId="77777777">
        <w:trPr>
          <w:cantSplit/>
          <w:jc w:val="center"/>
        </w:trPr>
        <w:tc>
          <w:tcPr>
            <w:tcW w:w="3100" w:type="dxa"/>
          </w:tcPr>
          <w:p w14:paraId="22DDF23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Variables totales</w:t>
            </w:r>
          </w:p>
        </w:tc>
        <w:tc>
          <w:tcPr>
            <w:tcW w:w="6200" w:type="dxa"/>
          </w:tcPr>
          <w:p w14:paraId="37A0E76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17</w:t>
            </w:r>
          </w:p>
        </w:tc>
      </w:tr>
      <w:tr w:rsidR="00A21BF2" w14:paraId="77907B65" w14:textId="77777777">
        <w:trPr>
          <w:cantSplit/>
          <w:jc w:val="center"/>
        </w:trPr>
        <w:tc>
          <w:tcPr>
            <w:tcW w:w="3100" w:type="dxa"/>
          </w:tcPr>
          <w:p w14:paraId="0A6106D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Predictoras numéricas</w:t>
            </w:r>
          </w:p>
        </w:tc>
        <w:tc>
          <w:tcPr>
            <w:tcW w:w="6200" w:type="dxa"/>
          </w:tcPr>
          <w:p w14:paraId="4750887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5 (Age,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TSH_Level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T3_Level, T4_Level,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Nodule_Size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</w:tr>
      <w:tr w:rsidR="00A21BF2" w14:paraId="5A041E66" w14:textId="77777777">
        <w:trPr>
          <w:cantSplit/>
          <w:jc w:val="center"/>
        </w:trPr>
        <w:tc>
          <w:tcPr>
            <w:tcW w:w="3100" w:type="dxa"/>
          </w:tcPr>
          <w:p w14:paraId="7CDAD20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Predictoras categóricas</w:t>
            </w:r>
          </w:p>
        </w:tc>
        <w:tc>
          <w:tcPr>
            <w:tcW w:w="6200" w:type="dxa"/>
          </w:tcPr>
          <w:p w14:paraId="71B8CFA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9 (7 binarias + Country y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Ethnicity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</w:tr>
      <w:tr w:rsidR="00A21BF2" w14:paraId="7DBA8948" w14:textId="77777777">
        <w:trPr>
          <w:cantSplit/>
          <w:jc w:val="center"/>
        </w:trPr>
        <w:tc>
          <w:tcPr>
            <w:tcW w:w="3100" w:type="dxa"/>
          </w:tcPr>
          <w:p w14:paraId="6B0F275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Identificador / excluidas</w:t>
            </w:r>
          </w:p>
        </w:tc>
        <w:tc>
          <w:tcPr>
            <w:tcW w:w="6200" w:type="dxa"/>
          </w:tcPr>
          <w:p w14:paraId="3F64165B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Patient_ID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Thyroid_Cancer_Risk</w:t>
            </w:r>
            <w:proofErr w:type="spellEnd"/>
          </w:p>
        </w:tc>
      </w:tr>
      <w:tr w:rsidR="00A21BF2" w14:paraId="07A938D8" w14:textId="77777777">
        <w:trPr>
          <w:cantSplit/>
          <w:jc w:val="center"/>
        </w:trPr>
        <w:tc>
          <w:tcPr>
            <w:tcW w:w="3100" w:type="dxa"/>
          </w:tcPr>
          <w:p w14:paraId="7831826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Variable objetivo</w:t>
            </w:r>
          </w:p>
        </w:tc>
        <w:tc>
          <w:tcPr>
            <w:tcW w:w="6200" w:type="dxa"/>
          </w:tcPr>
          <w:p w14:paraId="1E64449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Diagnosis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Benign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Malignant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</w:tr>
      <w:tr w:rsidR="00A21BF2" w14:paraId="7880054D" w14:textId="77777777">
        <w:trPr>
          <w:cantSplit/>
          <w:jc w:val="center"/>
        </w:trPr>
        <w:tc>
          <w:tcPr>
            <w:tcW w:w="3100" w:type="dxa"/>
          </w:tcPr>
          <w:p w14:paraId="01F668F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Valores faltantes / duplicados</w:t>
            </w:r>
          </w:p>
        </w:tc>
        <w:tc>
          <w:tcPr>
            <w:tcW w:w="6200" w:type="dxa"/>
          </w:tcPr>
          <w:p w14:paraId="6525DC4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 / 0</w:t>
            </w:r>
          </w:p>
        </w:tc>
      </w:tr>
    </w:tbl>
    <w:p w14:paraId="625861B1" w14:textId="77777777" w:rsidR="00A21BF2" w:rsidRDefault="00A21BF2">
      <w:pPr>
        <w:spacing w:after="60"/>
        <w:jc w:val="both"/>
      </w:pPr>
    </w:p>
    <w:p w14:paraId="73A8B3EA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2.3 Período temporal</w:t>
      </w:r>
    </w:p>
    <w:p w14:paraId="2A0B1870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 xml:space="preserve">El </w:t>
      </w:r>
      <w:proofErr w:type="spellStart"/>
      <w:r>
        <w:rPr>
          <w:rFonts w:ascii="Arial" w:eastAsia="Arial" w:hAnsi="Arial" w:cs="Arial"/>
          <w:sz w:val="24"/>
          <w:szCs w:val="24"/>
        </w:rPr>
        <w:t>dataset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no incluye fechas ni un período temporal de recolección. Cada fila es una observación transversal de un paciente, por lo que no se requiere un tratamiento temporal (series de tiempo) y la separación de datos puede ser aleatoria estratificada.</w:t>
      </w:r>
    </w:p>
    <w:p w14:paraId="06B5410E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2.</w:t>
      </w:r>
      <w:r>
        <w:rPr>
          <w:b/>
          <w:bCs/>
          <w:sz w:val="32"/>
          <w:szCs w:val="32"/>
        </w:rPr>
        <w:t>4 Variable objetivo</w:t>
      </w:r>
    </w:p>
    <w:p w14:paraId="728D6AAF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 xml:space="preserve">La variable objetivo es </w:t>
      </w:r>
      <w:r>
        <w:rPr>
          <w:rFonts w:ascii="Arial" w:eastAsia="Arial" w:hAnsi="Arial" w:cs="Arial"/>
          <w:b/>
          <w:bCs/>
          <w:sz w:val="24"/>
          <w:szCs w:val="24"/>
        </w:rPr>
        <w:t>Diagnosis</w:t>
      </w:r>
      <w:r>
        <w:rPr>
          <w:rFonts w:ascii="Arial" w:eastAsia="Arial" w:hAnsi="Arial" w:cs="Arial"/>
          <w:sz w:val="24"/>
          <w:szCs w:val="24"/>
        </w:rPr>
        <w:t xml:space="preserve">, con dos clases: </w:t>
      </w:r>
      <w:proofErr w:type="spellStart"/>
      <w:r>
        <w:rPr>
          <w:rFonts w:ascii="Arial" w:eastAsia="Arial" w:hAnsi="Arial" w:cs="Arial"/>
          <w:sz w:val="24"/>
          <w:szCs w:val="24"/>
        </w:rPr>
        <w:t>Benign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(163 196 pacientes, 76.7 %) y </w:t>
      </w:r>
      <w:proofErr w:type="spellStart"/>
      <w:r>
        <w:rPr>
          <w:rFonts w:ascii="Arial" w:eastAsia="Arial" w:hAnsi="Arial" w:cs="Arial"/>
          <w:sz w:val="24"/>
          <w:szCs w:val="24"/>
        </w:rPr>
        <w:t>Malignant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(49 495 pacientes, 23.3 %). La clase positiva de interés es </w:t>
      </w:r>
      <w:proofErr w:type="spellStart"/>
      <w:r>
        <w:rPr>
          <w:rFonts w:ascii="Arial" w:eastAsia="Arial" w:hAnsi="Arial" w:cs="Arial"/>
          <w:sz w:val="24"/>
          <w:szCs w:val="24"/>
        </w:rPr>
        <w:t>Malignant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La variable </w:t>
      </w:r>
      <w:proofErr w:type="spellStart"/>
      <w:r>
        <w:rPr>
          <w:rFonts w:ascii="Arial" w:eastAsia="Arial" w:hAnsi="Arial" w:cs="Arial"/>
          <w:sz w:val="24"/>
          <w:szCs w:val="24"/>
        </w:rPr>
        <w:t>Thyroid_Cancer_Risk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(Low / Medium / High) </w:t>
      </w:r>
      <w:r>
        <w:rPr>
          <w:rFonts w:ascii="Arial" w:eastAsia="Arial" w:hAnsi="Arial" w:cs="Arial"/>
          <w:b/>
          <w:bCs/>
          <w:sz w:val="24"/>
          <w:szCs w:val="24"/>
        </w:rPr>
        <w:t>no se utiliza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como objetivo ni como predictor</w:t>
      </w:r>
      <w:r>
        <w:rPr>
          <w:rFonts w:ascii="Arial" w:eastAsia="Arial" w:hAnsi="Arial" w:cs="Arial"/>
          <w:sz w:val="24"/>
          <w:szCs w:val="24"/>
        </w:rPr>
        <w:t xml:space="preserve"> del modelo principal, por las razones expuestas en la sección 3.6; se emplea únicamente como regla de referencia (</w:t>
      </w:r>
      <w:proofErr w:type="spellStart"/>
      <w:r>
        <w:rPr>
          <w:rFonts w:ascii="Arial" w:eastAsia="Arial" w:hAnsi="Arial" w:cs="Arial"/>
          <w:sz w:val="24"/>
          <w:szCs w:val="24"/>
        </w:rPr>
        <w:t>baseline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del dominio).</w:t>
      </w:r>
    </w:p>
    <w:p w14:paraId="3642A90C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2.5 Diccionario de variables relevante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29"/>
        <w:gridCol w:w="1259"/>
        <w:gridCol w:w="4262"/>
        <w:gridCol w:w="1550"/>
      </w:tblGrid>
      <w:tr w:rsidR="00A21BF2" w14:paraId="160F7C76" w14:textId="77777777">
        <w:trPr>
          <w:cantSplit/>
          <w:tblHeader/>
          <w:jc w:val="center"/>
        </w:trPr>
        <w:tc>
          <w:tcPr>
            <w:tcW w:w="2228" w:type="dxa"/>
            <w:shd w:val="clear" w:color="auto" w:fill="1F3864"/>
          </w:tcPr>
          <w:p w14:paraId="365BF35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Variable</w:t>
            </w:r>
          </w:p>
        </w:tc>
        <w:tc>
          <w:tcPr>
            <w:tcW w:w="1259" w:type="dxa"/>
            <w:shd w:val="clear" w:color="auto" w:fill="1F3864"/>
          </w:tcPr>
          <w:p w14:paraId="00945E5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4262" w:type="dxa"/>
            <w:shd w:val="clear" w:color="auto" w:fill="1F3864"/>
          </w:tcPr>
          <w:p w14:paraId="56F375A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/ valores</w:t>
            </w:r>
          </w:p>
        </w:tc>
        <w:tc>
          <w:tcPr>
            <w:tcW w:w="1550" w:type="dxa"/>
            <w:shd w:val="clear" w:color="auto" w:fill="1F3864"/>
          </w:tcPr>
          <w:p w14:paraId="54F6AB1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</w:tr>
      <w:tr w:rsidR="00A21BF2" w14:paraId="563D1215" w14:textId="77777777">
        <w:trPr>
          <w:cantSplit/>
          <w:jc w:val="center"/>
        </w:trPr>
        <w:tc>
          <w:tcPr>
            <w:tcW w:w="2228" w:type="dxa"/>
          </w:tcPr>
          <w:p w14:paraId="6B26772F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Patien</w:t>
            </w:r>
            <w:r>
              <w:rPr>
                <w:rFonts w:ascii="Arial" w:eastAsia="Arial" w:hAnsi="Arial" w:cs="Arial"/>
                <w:sz w:val="18"/>
                <w:szCs w:val="18"/>
              </w:rPr>
              <w:t>t_ID</w:t>
            </w:r>
            <w:proofErr w:type="spellEnd"/>
          </w:p>
        </w:tc>
        <w:tc>
          <w:tcPr>
            <w:tcW w:w="1259" w:type="dxa"/>
          </w:tcPr>
          <w:p w14:paraId="3DB7286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Entero</w:t>
            </w:r>
          </w:p>
        </w:tc>
        <w:tc>
          <w:tcPr>
            <w:tcW w:w="4262" w:type="dxa"/>
          </w:tcPr>
          <w:p w14:paraId="3694F71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Identificador único del paciente</w:t>
            </w:r>
          </w:p>
        </w:tc>
        <w:tc>
          <w:tcPr>
            <w:tcW w:w="1550" w:type="dxa"/>
          </w:tcPr>
          <w:p w14:paraId="0BD71B4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Excluida</w:t>
            </w:r>
          </w:p>
        </w:tc>
      </w:tr>
      <w:tr w:rsidR="00A21BF2" w14:paraId="5EC51FA2" w14:textId="77777777">
        <w:trPr>
          <w:cantSplit/>
          <w:jc w:val="center"/>
        </w:trPr>
        <w:tc>
          <w:tcPr>
            <w:tcW w:w="2228" w:type="dxa"/>
          </w:tcPr>
          <w:p w14:paraId="7FEB936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Age</w:t>
            </w:r>
          </w:p>
        </w:tc>
        <w:tc>
          <w:tcPr>
            <w:tcW w:w="1259" w:type="dxa"/>
          </w:tcPr>
          <w:p w14:paraId="0B83E11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Numérica</w:t>
            </w:r>
          </w:p>
        </w:tc>
        <w:tc>
          <w:tcPr>
            <w:tcW w:w="4262" w:type="dxa"/>
          </w:tcPr>
          <w:p w14:paraId="5D5E17A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Edad en años (15–89)</w:t>
            </w:r>
          </w:p>
        </w:tc>
        <w:tc>
          <w:tcPr>
            <w:tcW w:w="1550" w:type="dxa"/>
          </w:tcPr>
          <w:p w14:paraId="7DBD35C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</w:t>
            </w:r>
          </w:p>
        </w:tc>
      </w:tr>
      <w:tr w:rsidR="00A21BF2" w14:paraId="2AC973CB" w14:textId="77777777">
        <w:trPr>
          <w:cantSplit/>
          <w:jc w:val="center"/>
        </w:trPr>
        <w:tc>
          <w:tcPr>
            <w:tcW w:w="2228" w:type="dxa"/>
          </w:tcPr>
          <w:p w14:paraId="4B5B6BEF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Gender</w:t>
            </w:r>
            <w:proofErr w:type="spellEnd"/>
          </w:p>
        </w:tc>
        <w:tc>
          <w:tcPr>
            <w:tcW w:w="1259" w:type="dxa"/>
          </w:tcPr>
          <w:p w14:paraId="0D4880C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Binaria</w:t>
            </w:r>
          </w:p>
        </w:tc>
        <w:tc>
          <w:tcPr>
            <w:tcW w:w="4262" w:type="dxa"/>
          </w:tcPr>
          <w:p w14:paraId="317FFFD2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Female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(60 %) / Male (40 %)</w:t>
            </w:r>
          </w:p>
        </w:tc>
        <w:tc>
          <w:tcPr>
            <w:tcW w:w="1550" w:type="dxa"/>
          </w:tcPr>
          <w:p w14:paraId="1685EC5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</w:t>
            </w:r>
          </w:p>
        </w:tc>
      </w:tr>
      <w:tr w:rsidR="00A21BF2" w14:paraId="1BBC0D67" w14:textId="77777777">
        <w:trPr>
          <w:cantSplit/>
          <w:jc w:val="center"/>
        </w:trPr>
        <w:tc>
          <w:tcPr>
            <w:tcW w:w="2228" w:type="dxa"/>
          </w:tcPr>
          <w:p w14:paraId="0D6BFB9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Country</w:t>
            </w:r>
          </w:p>
        </w:tc>
        <w:tc>
          <w:tcPr>
            <w:tcW w:w="1259" w:type="dxa"/>
          </w:tcPr>
          <w:p w14:paraId="029F258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Nominal</w:t>
            </w:r>
          </w:p>
        </w:tc>
        <w:tc>
          <w:tcPr>
            <w:tcW w:w="4262" w:type="dxa"/>
          </w:tcPr>
          <w:p w14:paraId="2E6F477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10 países (India 20 %, China 15 %, Nigeria 15 %, …)</w:t>
            </w:r>
          </w:p>
        </w:tc>
        <w:tc>
          <w:tcPr>
            <w:tcW w:w="1550" w:type="dxa"/>
          </w:tcPr>
          <w:p w14:paraId="7E158C8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</w:t>
            </w:r>
          </w:p>
        </w:tc>
      </w:tr>
      <w:tr w:rsidR="00A21BF2" w14:paraId="51AB2D97" w14:textId="77777777">
        <w:trPr>
          <w:cantSplit/>
          <w:jc w:val="center"/>
        </w:trPr>
        <w:tc>
          <w:tcPr>
            <w:tcW w:w="2228" w:type="dxa"/>
          </w:tcPr>
          <w:p w14:paraId="185AE87C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Ethnicity</w:t>
            </w:r>
            <w:proofErr w:type="spellEnd"/>
          </w:p>
        </w:tc>
        <w:tc>
          <w:tcPr>
            <w:tcW w:w="1259" w:type="dxa"/>
          </w:tcPr>
          <w:p w14:paraId="72959C2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Nominal</w:t>
            </w:r>
          </w:p>
        </w:tc>
        <w:tc>
          <w:tcPr>
            <w:tcW w:w="4262" w:type="dxa"/>
          </w:tcPr>
          <w:p w14:paraId="7093C24E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Caucasian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Asian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African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Hispanic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Middle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Eastern</w:t>
            </w:r>
          </w:p>
        </w:tc>
        <w:tc>
          <w:tcPr>
            <w:tcW w:w="1550" w:type="dxa"/>
          </w:tcPr>
          <w:p w14:paraId="6F92113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</w:t>
            </w:r>
          </w:p>
        </w:tc>
      </w:tr>
      <w:tr w:rsidR="00A21BF2" w14:paraId="32FCB5CB" w14:textId="77777777">
        <w:trPr>
          <w:cantSplit/>
          <w:jc w:val="center"/>
        </w:trPr>
        <w:tc>
          <w:tcPr>
            <w:tcW w:w="2228" w:type="dxa"/>
          </w:tcPr>
          <w:p w14:paraId="2F00E621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Family_History</w:t>
            </w:r>
            <w:proofErr w:type="spellEnd"/>
          </w:p>
        </w:tc>
        <w:tc>
          <w:tcPr>
            <w:tcW w:w="1259" w:type="dxa"/>
          </w:tcPr>
          <w:p w14:paraId="5089458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Binaria</w:t>
            </w:r>
          </w:p>
        </w:tc>
        <w:tc>
          <w:tcPr>
            <w:tcW w:w="4262" w:type="dxa"/>
          </w:tcPr>
          <w:p w14:paraId="3D3CEEB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Antecedente familiar de cáncer de tiroides (Yes 30 %)</w:t>
            </w:r>
          </w:p>
        </w:tc>
        <w:tc>
          <w:tcPr>
            <w:tcW w:w="1550" w:type="dxa"/>
          </w:tcPr>
          <w:p w14:paraId="659F7FF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</w:t>
            </w:r>
          </w:p>
        </w:tc>
      </w:tr>
      <w:tr w:rsidR="00A21BF2" w14:paraId="1493DF9E" w14:textId="77777777">
        <w:trPr>
          <w:cantSplit/>
          <w:jc w:val="center"/>
        </w:trPr>
        <w:tc>
          <w:tcPr>
            <w:tcW w:w="2228" w:type="dxa"/>
          </w:tcPr>
          <w:p w14:paraId="23D6F3C8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Radiation_Exposure</w:t>
            </w:r>
            <w:proofErr w:type="spellEnd"/>
          </w:p>
        </w:tc>
        <w:tc>
          <w:tcPr>
            <w:tcW w:w="1259" w:type="dxa"/>
          </w:tcPr>
          <w:p w14:paraId="0852FAA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Binaria</w:t>
            </w:r>
          </w:p>
        </w:tc>
        <w:tc>
          <w:tcPr>
            <w:tcW w:w="4262" w:type="dxa"/>
          </w:tcPr>
          <w:p w14:paraId="7265A41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Exposición previa a radiación (Yes 15 %)</w:t>
            </w:r>
          </w:p>
        </w:tc>
        <w:tc>
          <w:tcPr>
            <w:tcW w:w="1550" w:type="dxa"/>
          </w:tcPr>
          <w:p w14:paraId="4054E9A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</w:t>
            </w:r>
          </w:p>
        </w:tc>
      </w:tr>
      <w:tr w:rsidR="00A21BF2" w14:paraId="18DC6380" w14:textId="77777777">
        <w:trPr>
          <w:cantSplit/>
          <w:jc w:val="center"/>
        </w:trPr>
        <w:tc>
          <w:tcPr>
            <w:tcW w:w="2228" w:type="dxa"/>
          </w:tcPr>
          <w:p w14:paraId="07F67C3B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Iodine_Deficiency</w:t>
            </w:r>
            <w:proofErr w:type="spellEnd"/>
          </w:p>
        </w:tc>
        <w:tc>
          <w:tcPr>
            <w:tcW w:w="1259" w:type="dxa"/>
          </w:tcPr>
          <w:p w14:paraId="1608900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Binaria</w:t>
            </w:r>
          </w:p>
        </w:tc>
        <w:tc>
          <w:tcPr>
            <w:tcW w:w="4262" w:type="dxa"/>
          </w:tcPr>
          <w:p w14:paraId="6189C63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Deficiencia de yodo (Yes 25 %)</w:t>
            </w:r>
          </w:p>
        </w:tc>
        <w:tc>
          <w:tcPr>
            <w:tcW w:w="1550" w:type="dxa"/>
          </w:tcPr>
          <w:p w14:paraId="7D8600D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</w:t>
            </w:r>
          </w:p>
        </w:tc>
      </w:tr>
      <w:tr w:rsidR="00A21BF2" w14:paraId="7564AF8E" w14:textId="77777777">
        <w:trPr>
          <w:cantSplit/>
          <w:jc w:val="center"/>
        </w:trPr>
        <w:tc>
          <w:tcPr>
            <w:tcW w:w="2228" w:type="dxa"/>
          </w:tcPr>
          <w:p w14:paraId="59E1DBF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Smoking</w:t>
            </w:r>
          </w:p>
        </w:tc>
        <w:tc>
          <w:tcPr>
            <w:tcW w:w="1259" w:type="dxa"/>
          </w:tcPr>
          <w:p w14:paraId="48C0BB5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Binaria</w:t>
            </w:r>
          </w:p>
        </w:tc>
        <w:tc>
          <w:tcPr>
            <w:tcW w:w="4262" w:type="dxa"/>
          </w:tcPr>
          <w:p w14:paraId="24DF06C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Fumador (Yes 20 %)</w:t>
            </w:r>
          </w:p>
        </w:tc>
        <w:tc>
          <w:tcPr>
            <w:tcW w:w="1550" w:type="dxa"/>
          </w:tcPr>
          <w:p w14:paraId="1B14509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</w:t>
            </w:r>
          </w:p>
        </w:tc>
      </w:tr>
      <w:tr w:rsidR="00A21BF2" w14:paraId="03684A2C" w14:textId="77777777">
        <w:trPr>
          <w:cantSplit/>
          <w:jc w:val="center"/>
        </w:trPr>
        <w:tc>
          <w:tcPr>
            <w:tcW w:w="2228" w:type="dxa"/>
          </w:tcPr>
          <w:p w14:paraId="32AFE0B5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Obesity</w:t>
            </w:r>
            <w:proofErr w:type="spellEnd"/>
          </w:p>
        </w:tc>
        <w:tc>
          <w:tcPr>
            <w:tcW w:w="1259" w:type="dxa"/>
          </w:tcPr>
          <w:p w14:paraId="204C5EF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Binaria</w:t>
            </w:r>
          </w:p>
        </w:tc>
        <w:tc>
          <w:tcPr>
            <w:tcW w:w="4262" w:type="dxa"/>
          </w:tcPr>
          <w:p w14:paraId="2CE4E49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Obesidad (Yes 30 %)</w:t>
            </w:r>
          </w:p>
        </w:tc>
        <w:tc>
          <w:tcPr>
            <w:tcW w:w="1550" w:type="dxa"/>
          </w:tcPr>
          <w:p w14:paraId="6421E55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</w:t>
            </w:r>
          </w:p>
        </w:tc>
      </w:tr>
      <w:tr w:rsidR="00A21BF2" w14:paraId="119FFE77" w14:textId="77777777">
        <w:trPr>
          <w:cantSplit/>
          <w:jc w:val="center"/>
        </w:trPr>
        <w:tc>
          <w:tcPr>
            <w:tcW w:w="2228" w:type="dxa"/>
          </w:tcPr>
          <w:p w14:paraId="52F22E5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Diabetes</w:t>
            </w:r>
          </w:p>
        </w:tc>
        <w:tc>
          <w:tcPr>
            <w:tcW w:w="1259" w:type="dxa"/>
          </w:tcPr>
          <w:p w14:paraId="2FE957F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Binaria</w:t>
            </w:r>
          </w:p>
        </w:tc>
        <w:tc>
          <w:tcPr>
            <w:tcW w:w="4262" w:type="dxa"/>
          </w:tcPr>
          <w:p w14:paraId="25E1533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Diabetes (Yes 20 %)</w:t>
            </w:r>
          </w:p>
        </w:tc>
        <w:tc>
          <w:tcPr>
            <w:tcW w:w="1550" w:type="dxa"/>
          </w:tcPr>
          <w:p w14:paraId="5042115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</w:t>
            </w:r>
          </w:p>
        </w:tc>
      </w:tr>
      <w:tr w:rsidR="00A21BF2" w14:paraId="7A3C2CFF" w14:textId="77777777">
        <w:trPr>
          <w:cantSplit/>
          <w:jc w:val="center"/>
        </w:trPr>
        <w:tc>
          <w:tcPr>
            <w:tcW w:w="2228" w:type="dxa"/>
          </w:tcPr>
          <w:p w14:paraId="41F1D620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TSH_Level</w:t>
            </w:r>
            <w:proofErr w:type="spellEnd"/>
          </w:p>
        </w:tc>
        <w:tc>
          <w:tcPr>
            <w:tcW w:w="1259" w:type="dxa"/>
          </w:tcPr>
          <w:p w14:paraId="75B05A9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Numérica</w:t>
            </w:r>
          </w:p>
        </w:tc>
        <w:tc>
          <w:tcPr>
            <w:tcW w:w="4262" w:type="dxa"/>
          </w:tcPr>
          <w:p w14:paraId="09916D2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Hormona estimulante de tiroides,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mIU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/L (0.1–10)</w:t>
            </w:r>
          </w:p>
        </w:tc>
        <w:tc>
          <w:tcPr>
            <w:tcW w:w="1550" w:type="dxa"/>
          </w:tcPr>
          <w:p w14:paraId="2B15B13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</w:t>
            </w:r>
          </w:p>
        </w:tc>
      </w:tr>
      <w:tr w:rsidR="00A21BF2" w14:paraId="7A058836" w14:textId="77777777">
        <w:trPr>
          <w:cantSplit/>
          <w:jc w:val="center"/>
        </w:trPr>
        <w:tc>
          <w:tcPr>
            <w:tcW w:w="2228" w:type="dxa"/>
          </w:tcPr>
          <w:p w14:paraId="71971E4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T3_Level</w:t>
            </w:r>
          </w:p>
        </w:tc>
        <w:tc>
          <w:tcPr>
            <w:tcW w:w="1259" w:type="dxa"/>
          </w:tcPr>
          <w:p w14:paraId="4D72974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Numérica</w:t>
            </w:r>
          </w:p>
        </w:tc>
        <w:tc>
          <w:tcPr>
            <w:tcW w:w="4262" w:type="dxa"/>
          </w:tcPr>
          <w:p w14:paraId="4022BC9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Triyodotironina (0.5–3.5)</w:t>
            </w:r>
          </w:p>
        </w:tc>
        <w:tc>
          <w:tcPr>
            <w:tcW w:w="1550" w:type="dxa"/>
          </w:tcPr>
          <w:p w14:paraId="0FA9A40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</w:t>
            </w:r>
          </w:p>
        </w:tc>
      </w:tr>
      <w:tr w:rsidR="00A21BF2" w14:paraId="2368E844" w14:textId="77777777">
        <w:trPr>
          <w:cantSplit/>
          <w:jc w:val="center"/>
        </w:trPr>
        <w:tc>
          <w:tcPr>
            <w:tcW w:w="2228" w:type="dxa"/>
          </w:tcPr>
          <w:p w14:paraId="4147754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T4_Level</w:t>
            </w:r>
          </w:p>
        </w:tc>
        <w:tc>
          <w:tcPr>
            <w:tcW w:w="1259" w:type="dxa"/>
          </w:tcPr>
          <w:p w14:paraId="6D6A1F5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Numérica</w:t>
            </w:r>
          </w:p>
        </w:tc>
        <w:tc>
          <w:tcPr>
            <w:tcW w:w="4262" w:type="dxa"/>
          </w:tcPr>
          <w:p w14:paraId="1B415FE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Tiroxina (4.5–12)</w:t>
            </w:r>
          </w:p>
        </w:tc>
        <w:tc>
          <w:tcPr>
            <w:tcW w:w="1550" w:type="dxa"/>
          </w:tcPr>
          <w:p w14:paraId="3609720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</w:t>
            </w:r>
          </w:p>
        </w:tc>
      </w:tr>
      <w:tr w:rsidR="00A21BF2" w14:paraId="06461B3E" w14:textId="77777777">
        <w:trPr>
          <w:cantSplit/>
          <w:jc w:val="center"/>
        </w:trPr>
        <w:tc>
          <w:tcPr>
            <w:tcW w:w="2228" w:type="dxa"/>
          </w:tcPr>
          <w:p w14:paraId="0AA32B22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Nodule_Size</w:t>
            </w:r>
            <w:proofErr w:type="spellEnd"/>
          </w:p>
        </w:tc>
        <w:tc>
          <w:tcPr>
            <w:tcW w:w="1259" w:type="dxa"/>
          </w:tcPr>
          <w:p w14:paraId="30BA743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Numérica</w:t>
            </w:r>
          </w:p>
        </w:tc>
        <w:tc>
          <w:tcPr>
            <w:tcW w:w="4262" w:type="dxa"/>
          </w:tcPr>
          <w:p w14:paraId="7C08688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Tamaño del nódulo en cm (0–5)</w:t>
            </w:r>
          </w:p>
        </w:tc>
        <w:tc>
          <w:tcPr>
            <w:tcW w:w="1550" w:type="dxa"/>
          </w:tcPr>
          <w:p w14:paraId="699EA5A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Predictor</w:t>
            </w:r>
          </w:p>
        </w:tc>
      </w:tr>
      <w:tr w:rsidR="00A21BF2" w14:paraId="23478E5F" w14:textId="77777777">
        <w:trPr>
          <w:cantSplit/>
          <w:jc w:val="center"/>
        </w:trPr>
        <w:tc>
          <w:tcPr>
            <w:tcW w:w="2228" w:type="dxa"/>
          </w:tcPr>
          <w:p w14:paraId="4A8FBAA4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Thyroid_Cancer_Risk</w:t>
            </w:r>
            <w:proofErr w:type="spellEnd"/>
          </w:p>
        </w:tc>
        <w:tc>
          <w:tcPr>
            <w:tcW w:w="1259" w:type="dxa"/>
          </w:tcPr>
          <w:p w14:paraId="06F80A5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Ordinal</w:t>
            </w:r>
          </w:p>
        </w:tc>
        <w:tc>
          <w:tcPr>
            <w:tcW w:w="4262" w:type="dxa"/>
          </w:tcPr>
          <w:p w14:paraId="74B22AA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Low / Medium / High (puntaje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precalculado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  <w:tc>
          <w:tcPr>
            <w:tcW w:w="1550" w:type="dxa"/>
          </w:tcPr>
          <w:p w14:paraId="721B7AE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Excluida (referencia)</w:t>
            </w:r>
          </w:p>
        </w:tc>
      </w:tr>
      <w:tr w:rsidR="00A21BF2" w14:paraId="04BCB76D" w14:textId="77777777">
        <w:trPr>
          <w:cantSplit/>
          <w:jc w:val="center"/>
        </w:trPr>
        <w:tc>
          <w:tcPr>
            <w:tcW w:w="2228" w:type="dxa"/>
          </w:tcPr>
          <w:p w14:paraId="0B2D95E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Diagnosis</w:t>
            </w:r>
          </w:p>
        </w:tc>
        <w:tc>
          <w:tcPr>
            <w:tcW w:w="1259" w:type="dxa"/>
          </w:tcPr>
          <w:p w14:paraId="6EDB712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Binaria</w:t>
            </w:r>
          </w:p>
        </w:tc>
        <w:tc>
          <w:tcPr>
            <w:tcW w:w="4262" w:type="dxa"/>
          </w:tcPr>
          <w:p w14:paraId="73913A56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Benign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Malignant</w:t>
            </w:r>
            <w:proofErr w:type="spellEnd"/>
          </w:p>
        </w:tc>
        <w:tc>
          <w:tcPr>
            <w:tcW w:w="1550" w:type="dxa"/>
          </w:tcPr>
          <w:p w14:paraId="2577EC9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Objetivo</w:t>
            </w:r>
          </w:p>
        </w:tc>
      </w:tr>
    </w:tbl>
    <w:p w14:paraId="56D57E27" w14:textId="77777777" w:rsidR="00A21BF2" w:rsidRDefault="00A21BF2">
      <w:pPr>
        <w:spacing w:after="60"/>
        <w:jc w:val="both"/>
      </w:pPr>
    </w:p>
    <w:p w14:paraId="575588CA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2.6 Licencia o condiciones de uso</w:t>
      </w:r>
    </w:p>
    <w:p w14:paraId="076D996F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 xml:space="preserve">El </w:t>
      </w:r>
      <w:proofErr w:type="spellStart"/>
      <w:r>
        <w:rPr>
          <w:rFonts w:ascii="Arial" w:eastAsia="Arial" w:hAnsi="Arial" w:cs="Arial"/>
          <w:sz w:val="24"/>
          <w:szCs w:val="24"/>
        </w:rPr>
        <w:t>dataset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es de acceso público en Kaggle y se utiliza exclusivamente con fines académicos. La página del </w:t>
      </w:r>
      <w:proofErr w:type="spellStart"/>
      <w:r>
        <w:rPr>
          <w:rFonts w:ascii="Arial" w:eastAsia="Arial" w:hAnsi="Arial" w:cs="Arial"/>
          <w:sz w:val="24"/>
          <w:szCs w:val="24"/>
        </w:rPr>
        <w:t>dataset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no declara una licencia explícita en sus metadatos públicos, por lo que se usa únicamente con fines académicos y citando la fuente. Los datos </w:t>
      </w:r>
      <w:r>
        <w:rPr>
          <w:rFonts w:ascii="Arial" w:eastAsia="Arial" w:hAnsi="Arial" w:cs="Arial"/>
          <w:sz w:val="24"/>
          <w:szCs w:val="24"/>
        </w:rPr>
        <w:t xml:space="preserve">no contienen información personal identificable (el </w:t>
      </w:r>
      <w:proofErr w:type="spellStart"/>
      <w:r>
        <w:rPr>
          <w:rFonts w:ascii="Arial" w:eastAsia="Arial" w:hAnsi="Arial" w:cs="Arial"/>
          <w:sz w:val="24"/>
          <w:szCs w:val="24"/>
        </w:rPr>
        <w:t>Patient_ID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es un correlativo).</w:t>
      </w:r>
    </w:p>
    <w:p w14:paraId="12A3E7F5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 xml:space="preserve">2.7 Limitaciones conocidas del </w:t>
      </w:r>
      <w:proofErr w:type="spellStart"/>
      <w:r>
        <w:rPr>
          <w:b/>
          <w:bCs/>
          <w:sz w:val="32"/>
          <w:szCs w:val="32"/>
        </w:rPr>
        <w:t>dataset</w:t>
      </w:r>
      <w:proofErr w:type="spellEnd"/>
    </w:p>
    <w:p w14:paraId="3506510F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Origen probablemente sintético.</w:t>
      </w:r>
      <w:r>
        <w:rPr>
          <w:rFonts w:ascii="Arial" w:eastAsia="Arial" w:hAnsi="Arial" w:cs="Arial"/>
          <w:sz w:val="24"/>
          <w:szCs w:val="24"/>
        </w:rPr>
        <w:t xml:space="preserve"> Las variables numéricas tienen distribuciones uniformes, las hormonas no se correlacionan entre sí </w:t>
      </w:r>
      <w:r>
        <w:rPr>
          <w:rFonts w:ascii="Arial" w:eastAsia="Arial" w:hAnsi="Arial" w:cs="Arial"/>
          <w:sz w:val="24"/>
          <w:szCs w:val="24"/>
        </w:rPr>
        <w:t>(en la realidad TSH y T4 están relacionadas), la composición étnica es idéntica en todos los países y las proporciones de las binarias son números redondos (60/40, 70/30, 85/15). Los resultados no deben extrapolarse a pacientes reales.</w:t>
      </w:r>
    </w:p>
    <w:p w14:paraId="4E6088FC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Señal predictiva </w:t>
      </w:r>
      <w:r>
        <w:rPr>
          <w:rFonts w:ascii="Arial" w:eastAsia="Arial" w:hAnsi="Arial" w:cs="Arial"/>
          <w:b/>
          <w:bCs/>
          <w:sz w:val="24"/>
          <w:szCs w:val="24"/>
        </w:rPr>
        <w:t>débil.</w:t>
      </w:r>
      <w:r>
        <w:rPr>
          <w:rFonts w:ascii="Arial" w:eastAsia="Arial" w:hAnsi="Arial" w:cs="Arial"/>
          <w:sz w:val="24"/>
          <w:szCs w:val="24"/>
        </w:rPr>
        <w:t xml:space="preserve"> El perfil hormonal, el tamaño del nódulo y la edad no difieren entre benignos y malignos.</w:t>
      </w:r>
    </w:p>
    <w:p w14:paraId="687411E6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Variable de riesgo de origen desconocido.</w:t>
      </w:r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Thyroid_Cancer_Risk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es un puntaje </w:t>
      </w:r>
      <w:proofErr w:type="spellStart"/>
      <w:r>
        <w:rPr>
          <w:rFonts w:ascii="Arial" w:eastAsia="Arial" w:hAnsi="Arial" w:cs="Arial"/>
          <w:sz w:val="24"/>
          <w:szCs w:val="24"/>
        </w:rPr>
        <w:t>precalculado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sin documentación sobre cómo ni cuándo se obtuvo; además, las categ</w:t>
      </w:r>
      <w:r>
        <w:rPr>
          <w:rFonts w:ascii="Arial" w:eastAsia="Arial" w:hAnsi="Arial" w:cs="Arial"/>
          <w:sz w:val="24"/>
          <w:szCs w:val="24"/>
        </w:rPr>
        <w:t>orías Low y Medium son indistinguibles.</w:t>
      </w:r>
    </w:p>
    <w:p w14:paraId="47DF830A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Ausencia de variables clínicas clave</w:t>
      </w:r>
      <w:r>
        <w:rPr>
          <w:rFonts w:ascii="Arial" w:eastAsia="Arial" w:hAnsi="Arial" w:cs="Arial"/>
          <w:sz w:val="24"/>
          <w:szCs w:val="24"/>
        </w:rPr>
        <w:t>, como la clasificación ecográfica (TI-RADS), la citología (Bethesda) o las características morfológicas del nódulo.</w:t>
      </w:r>
    </w:p>
    <w:p w14:paraId="64B2F258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Sin dimensión temporal</w:t>
      </w:r>
      <w:r>
        <w:rPr>
          <w:rFonts w:ascii="Arial" w:eastAsia="Arial" w:hAnsi="Arial" w:cs="Arial"/>
          <w:sz w:val="24"/>
          <w:szCs w:val="24"/>
        </w:rPr>
        <w:t xml:space="preserve"> ni información sobre unidades exac</w:t>
      </w:r>
      <w:r>
        <w:rPr>
          <w:rFonts w:ascii="Arial" w:eastAsia="Arial" w:hAnsi="Arial" w:cs="Arial"/>
          <w:sz w:val="24"/>
          <w:szCs w:val="24"/>
        </w:rPr>
        <w:t>tas de laboratorio.</w:t>
      </w:r>
    </w:p>
    <w:p w14:paraId="40080065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 xml:space="preserve">2.8 Justificación de por qué el </w:t>
      </w:r>
      <w:proofErr w:type="spellStart"/>
      <w:r>
        <w:rPr>
          <w:b/>
          <w:bCs/>
          <w:sz w:val="32"/>
          <w:szCs w:val="32"/>
        </w:rPr>
        <w:t>dataset</w:t>
      </w:r>
      <w:proofErr w:type="spellEnd"/>
      <w:r>
        <w:rPr>
          <w:b/>
          <w:bCs/>
          <w:sz w:val="32"/>
          <w:szCs w:val="32"/>
        </w:rPr>
        <w:t xml:space="preserve"> es adecuado para el problema</w:t>
      </w:r>
    </w:p>
    <w:p w14:paraId="0E040826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 xml:space="preserve">A pesar de sus limitaciones, el </w:t>
      </w:r>
      <w:proofErr w:type="spellStart"/>
      <w:r>
        <w:rPr>
          <w:rFonts w:ascii="Arial" w:eastAsia="Arial" w:hAnsi="Arial" w:cs="Arial"/>
          <w:sz w:val="24"/>
          <w:szCs w:val="24"/>
        </w:rPr>
        <w:t>dataset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es adecuado para el objetivo académico del proyecto: (1) contiene una variable objetivo binaria claramente definida; (2) su tam</w:t>
      </w:r>
      <w:r>
        <w:rPr>
          <w:rFonts w:ascii="Arial" w:eastAsia="Arial" w:hAnsi="Arial" w:cs="Arial"/>
          <w:sz w:val="24"/>
          <w:szCs w:val="24"/>
        </w:rPr>
        <w:t xml:space="preserve">año (más de 212 mil registros) permite separar </w:t>
      </w:r>
      <w:proofErr w:type="spellStart"/>
      <w:r>
        <w:rPr>
          <w:rFonts w:ascii="Arial" w:eastAsia="Arial" w:hAnsi="Arial" w:cs="Arial"/>
          <w:sz w:val="24"/>
          <w:szCs w:val="24"/>
        </w:rPr>
        <w:t>train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sz w:val="24"/>
          <w:szCs w:val="24"/>
        </w:rPr>
        <w:t>validation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test con estimaciones estables; (3) combina variables numéricas y categóricas, lo que obliga a diseñar un preprocesamiento diferenciado; (4) presenta desbalance de clases, que exige elegir </w:t>
      </w:r>
      <w:r>
        <w:rPr>
          <w:rFonts w:ascii="Arial" w:eastAsia="Arial" w:hAnsi="Arial" w:cs="Arial"/>
          <w:sz w:val="24"/>
          <w:szCs w:val="24"/>
        </w:rPr>
        <w:t>métricas apropiadas; y (5) sus problemas de validez son en sí mismos un caso de estudio sobre análisis crítico, fuga de información e interpretación responsable.</w:t>
      </w:r>
    </w:p>
    <w:p w14:paraId="4BB94B08" w14:textId="77777777" w:rsidR="00A21BF2" w:rsidRDefault="00FB2279">
      <w:pPr>
        <w:spacing w:before="240" w:after="240"/>
      </w:pPr>
      <w:r>
        <w:br w:type="page"/>
      </w:r>
      <w:r>
        <w:rPr>
          <w:b/>
          <w:bCs/>
          <w:sz w:val="36"/>
          <w:szCs w:val="36"/>
        </w:rPr>
        <w:lastRenderedPageBreak/>
        <w:t>3. Análisis Exploratorio de Datos (EDA)</w:t>
      </w:r>
    </w:p>
    <w:p w14:paraId="1E8058B6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>El EDA se organizó en torno a preguntas concretas: ¿q</w:t>
      </w:r>
      <w:r>
        <w:rPr>
          <w:rFonts w:ascii="Arial" w:eastAsia="Arial" w:hAnsi="Arial" w:cs="Arial"/>
          <w:sz w:val="24"/>
          <w:szCs w:val="24"/>
        </w:rPr>
        <w:t>ué tan desbalanceado está el diagnóstico?, ¿qué variables diferencian a los pacientes malignos de los benignos?, ¿qué relación existe entre el puntaje de riesgo y el diagnóstico? y ¿hay patrones que comprometan la validez de los datos? En cada caso se dist</w:t>
      </w:r>
      <w:r>
        <w:rPr>
          <w:rFonts w:ascii="Arial" w:eastAsia="Arial" w:hAnsi="Arial" w:cs="Arial"/>
          <w:sz w:val="24"/>
          <w:szCs w:val="24"/>
        </w:rPr>
        <w:t>ingue lo que muestran los datos de la interpretación del grupo.</w:t>
      </w:r>
    </w:p>
    <w:p w14:paraId="3CD7F9B0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3.1 Distribuciones relevantes</w:t>
      </w:r>
    </w:p>
    <w:p w14:paraId="449297EC" w14:textId="77777777" w:rsidR="00A21BF2" w:rsidRDefault="00FB227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 wp14:anchorId="71928402" wp14:editId="1CDF3F6F">
            <wp:extent cx="5852160" cy="1597732"/>
            <wp:effectExtent l="0" t="0" r="0" b="0"/>
            <wp:docPr id="101" name="02_numericas_por_diagnostic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02_numericas_por_diagnostic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97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B2169" w14:textId="77777777" w:rsidR="00A21BF2" w:rsidRDefault="00FB2279">
      <w:pPr>
        <w:spacing w:before="40" w:after="160"/>
        <w:jc w:val="center"/>
      </w:pPr>
      <w:r>
        <w:rPr>
          <w:rFonts w:ascii="Arial" w:eastAsia="Arial" w:hAnsi="Arial" w:cs="Arial"/>
          <w:i/>
          <w:sz w:val="18"/>
          <w:szCs w:val="18"/>
        </w:rPr>
        <w:t>Figura 1. Densidad de las variables numéricas según diagnóstico.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60"/>
        <w:gridCol w:w="1860"/>
        <w:gridCol w:w="1860"/>
        <w:gridCol w:w="1860"/>
        <w:gridCol w:w="1860"/>
      </w:tblGrid>
      <w:tr w:rsidR="00A21BF2" w14:paraId="12BAE730" w14:textId="77777777">
        <w:trPr>
          <w:cantSplit/>
          <w:tblHeader/>
          <w:jc w:val="center"/>
        </w:trPr>
        <w:tc>
          <w:tcPr>
            <w:tcW w:w="1860" w:type="dxa"/>
            <w:shd w:val="clear" w:color="auto" w:fill="1F3864"/>
          </w:tcPr>
          <w:p w14:paraId="5F9D897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Variable</w:t>
            </w:r>
          </w:p>
        </w:tc>
        <w:tc>
          <w:tcPr>
            <w:tcW w:w="1860" w:type="dxa"/>
            <w:shd w:val="clear" w:color="auto" w:fill="1F3864"/>
          </w:tcPr>
          <w:p w14:paraId="39AF8FA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Media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Benign</w:t>
            </w:r>
            <w:proofErr w:type="spellEnd"/>
          </w:p>
        </w:tc>
        <w:tc>
          <w:tcPr>
            <w:tcW w:w="1860" w:type="dxa"/>
            <w:shd w:val="clear" w:color="auto" w:fill="1F3864"/>
          </w:tcPr>
          <w:p w14:paraId="1F26789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Media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Malignant</w:t>
            </w:r>
            <w:proofErr w:type="spellEnd"/>
          </w:p>
        </w:tc>
        <w:tc>
          <w:tcPr>
            <w:tcW w:w="1860" w:type="dxa"/>
            <w:shd w:val="clear" w:color="auto" w:fill="1F3864"/>
          </w:tcPr>
          <w:p w14:paraId="21EE30C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Diferencia</w:t>
            </w:r>
          </w:p>
        </w:tc>
        <w:tc>
          <w:tcPr>
            <w:tcW w:w="1860" w:type="dxa"/>
            <w:shd w:val="clear" w:color="auto" w:fill="1F3864"/>
          </w:tcPr>
          <w:p w14:paraId="49D1DA9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p-valor (Mann-Whitney)</w:t>
            </w:r>
          </w:p>
        </w:tc>
      </w:tr>
      <w:tr w:rsidR="00A21BF2" w14:paraId="3346EE7B" w14:textId="77777777">
        <w:trPr>
          <w:cantSplit/>
          <w:jc w:val="center"/>
        </w:trPr>
        <w:tc>
          <w:tcPr>
            <w:tcW w:w="1860" w:type="dxa"/>
          </w:tcPr>
          <w:p w14:paraId="2743CF3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Age</w:t>
            </w:r>
          </w:p>
        </w:tc>
        <w:tc>
          <w:tcPr>
            <w:tcW w:w="1860" w:type="dxa"/>
          </w:tcPr>
          <w:p w14:paraId="6F7236D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51.917</w:t>
            </w:r>
          </w:p>
        </w:tc>
        <w:tc>
          <w:tcPr>
            <w:tcW w:w="1860" w:type="dxa"/>
          </w:tcPr>
          <w:p w14:paraId="0BAED49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51.923</w:t>
            </w:r>
          </w:p>
        </w:tc>
        <w:tc>
          <w:tcPr>
            <w:tcW w:w="1860" w:type="dxa"/>
          </w:tcPr>
          <w:p w14:paraId="4D1E495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0.006</w:t>
            </w:r>
          </w:p>
        </w:tc>
        <w:tc>
          <w:tcPr>
            <w:tcW w:w="1860" w:type="dxa"/>
          </w:tcPr>
          <w:p w14:paraId="1DF0A06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0.958</w:t>
            </w:r>
          </w:p>
        </w:tc>
      </w:tr>
      <w:tr w:rsidR="00A21BF2" w14:paraId="00A18252" w14:textId="77777777">
        <w:trPr>
          <w:cantSplit/>
          <w:jc w:val="center"/>
        </w:trPr>
        <w:tc>
          <w:tcPr>
            <w:tcW w:w="1860" w:type="dxa"/>
          </w:tcPr>
          <w:p w14:paraId="4337B4B5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TSH_Level</w:t>
            </w:r>
            <w:proofErr w:type="spellEnd"/>
          </w:p>
        </w:tc>
        <w:tc>
          <w:tcPr>
            <w:tcW w:w="1860" w:type="dxa"/>
          </w:tcPr>
          <w:p w14:paraId="4B1C5D4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5.049</w:t>
            </w:r>
          </w:p>
        </w:tc>
        <w:tc>
          <w:tcPr>
            <w:tcW w:w="1860" w:type="dxa"/>
          </w:tcPr>
          <w:p w14:paraId="1A33E26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5.031</w:t>
            </w:r>
          </w:p>
        </w:tc>
        <w:tc>
          <w:tcPr>
            <w:tcW w:w="1860" w:type="dxa"/>
          </w:tcPr>
          <w:p w14:paraId="538199A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−</w:t>
            </w:r>
            <w:r>
              <w:rPr>
                <w:rFonts w:ascii="Arial" w:eastAsia="Arial" w:hAnsi="Arial" w:cs="Arial"/>
                <w:sz w:val="18"/>
                <w:szCs w:val="18"/>
              </w:rPr>
              <w:t>0.018</w:t>
            </w:r>
          </w:p>
        </w:tc>
        <w:tc>
          <w:tcPr>
            <w:tcW w:w="1860" w:type="dxa"/>
          </w:tcPr>
          <w:p w14:paraId="2DF08EC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0.219</w:t>
            </w:r>
          </w:p>
        </w:tc>
      </w:tr>
      <w:tr w:rsidR="00A21BF2" w14:paraId="2E2B812E" w14:textId="77777777">
        <w:trPr>
          <w:cantSplit/>
          <w:jc w:val="center"/>
        </w:trPr>
        <w:tc>
          <w:tcPr>
            <w:tcW w:w="1860" w:type="dxa"/>
          </w:tcPr>
          <w:p w14:paraId="4F112F1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T3_Level</w:t>
            </w:r>
          </w:p>
        </w:tc>
        <w:tc>
          <w:tcPr>
            <w:tcW w:w="1860" w:type="dxa"/>
          </w:tcPr>
          <w:p w14:paraId="6148AB7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2.003</w:t>
            </w:r>
          </w:p>
        </w:tc>
        <w:tc>
          <w:tcPr>
            <w:tcW w:w="1860" w:type="dxa"/>
          </w:tcPr>
          <w:p w14:paraId="3BE71AA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1.998</w:t>
            </w:r>
          </w:p>
        </w:tc>
        <w:tc>
          <w:tcPr>
            <w:tcW w:w="1860" w:type="dxa"/>
          </w:tcPr>
          <w:p w14:paraId="2BF6160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−</w:t>
            </w:r>
            <w:r>
              <w:rPr>
                <w:rFonts w:ascii="Arial" w:eastAsia="Arial" w:hAnsi="Arial" w:cs="Arial"/>
                <w:sz w:val="18"/>
                <w:szCs w:val="18"/>
              </w:rPr>
              <w:t>0.005</w:t>
            </w:r>
          </w:p>
        </w:tc>
        <w:tc>
          <w:tcPr>
            <w:tcW w:w="1860" w:type="dxa"/>
          </w:tcPr>
          <w:p w14:paraId="1AB85F4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0.270</w:t>
            </w:r>
          </w:p>
        </w:tc>
      </w:tr>
      <w:tr w:rsidR="00A21BF2" w14:paraId="78325B39" w14:textId="77777777">
        <w:trPr>
          <w:cantSplit/>
          <w:jc w:val="center"/>
        </w:trPr>
        <w:tc>
          <w:tcPr>
            <w:tcW w:w="1860" w:type="dxa"/>
          </w:tcPr>
          <w:p w14:paraId="5607948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T4_Level</w:t>
            </w:r>
          </w:p>
        </w:tc>
        <w:tc>
          <w:tcPr>
            <w:tcW w:w="1860" w:type="dxa"/>
          </w:tcPr>
          <w:p w14:paraId="7BD90E0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8.245</w:t>
            </w:r>
          </w:p>
        </w:tc>
        <w:tc>
          <w:tcPr>
            <w:tcW w:w="1860" w:type="dxa"/>
          </w:tcPr>
          <w:p w14:paraId="50FCE5D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8.251</w:t>
            </w:r>
          </w:p>
        </w:tc>
        <w:tc>
          <w:tcPr>
            <w:tcW w:w="1860" w:type="dxa"/>
          </w:tcPr>
          <w:p w14:paraId="110AFA5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0.006</w:t>
            </w:r>
          </w:p>
        </w:tc>
        <w:tc>
          <w:tcPr>
            <w:tcW w:w="1860" w:type="dxa"/>
          </w:tcPr>
          <w:p w14:paraId="6D33D2F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0.575</w:t>
            </w:r>
          </w:p>
        </w:tc>
      </w:tr>
      <w:tr w:rsidR="00A21BF2" w14:paraId="297999FB" w14:textId="77777777">
        <w:trPr>
          <w:cantSplit/>
          <w:jc w:val="center"/>
        </w:trPr>
        <w:tc>
          <w:tcPr>
            <w:tcW w:w="1860" w:type="dxa"/>
          </w:tcPr>
          <w:p w14:paraId="3EE28AC6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Nodule_Size</w:t>
            </w:r>
            <w:proofErr w:type="spellEnd"/>
          </w:p>
        </w:tc>
        <w:tc>
          <w:tcPr>
            <w:tcW w:w="1860" w:type="dxa"/>
          </w:tcPr>
          <w:p w14:paraId="13F2AB8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2.506</w:t>
            </w:r>
          </w:p>
        </w:tc>
        <w:tc>
          <w:tcPr>
            <w:tcW w:w="1860" w:type="dxa"/>
          </w:tcPr>
          <w:p w14:paraId="5FAABBC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2.496</w:t>
            </w:r>
          </w:p>
        </w:tc>
        <w:tc>
          <w:tcPr>
            <w:tcW w:w="1860" w:type="dxa"/>
          </w:tcPr>
          <w:p w14:paraId="33F2661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−</w:t>
            </w:r>
            <w:r>
              <w:rPr>
                <w:rFonts w:ascii="Arial" w:eastAsia="Arial" w:hAnsi="Arial" w:cs="Arial"/>
                <w:sz w:val="18"/>
                <w:szCs w:val="18"/>
              </w:rPr>
              <w:t>0.010</w:t>
            </w:r>
          </w:p>
        </w:tc>
        <w:tc>
          <w:tcPr>
            <w:tcW w:w="1860" w:type="dxa"/>
          </w:tcPr>
          <w:p w14:paraId="7543149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0.220</w:t>
            </w:r>
          </w:p>
        </w:tc>
      </w:tr>
    </w:tbl>
    <w:p w14:paraId="391503C8" w14:textId="77777777" w:rsidR="00A21BF2" w:rsidRDefault="00A21BF2">
      <w:pPr>
        <w:spacing w:after="60"/>
        <w:jc w:val="both"/>
      </w:pPr>
    </w:p>
    <w:p w14:paraId="763EE213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Lo que muestran los datos:</w:t>
      </w:r>
      <w:r>
        <w:rPr>
          <w:rFonts w:ascii="Arial" w:eastAsia="Arial" w:hAnsi="Arial" w:cs="Arial"/>
          <w:sz w:val="24"/>
          <w:szCs w:val="24"/>
        </w:rPr>
        <w:t xml:space="preserve"> las cinco variables numéricas tienen distribuciones aproximadamente uniformes y prácticamente idénticas en ambos grupos; ninguna diferencia es estadísticamente significativa (p &gt; 0.2).</w:t>
      </w:r>
    </w:p>
    <w:p w14:paraId="6573EB9C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Interpretación del grupo:</w:t>
      </w:r>
      <w:r>
        <w:rPr>
          <w:rFonts w:ascii="Arial" w:eastAsia="Arial" w:hAnsi="Arial" w:cs="Arial"/>
          <w:sz w:val="24"/>
          <w:szCs w:val="24"/>
        </w:rPr>
        <w:t xml:space="preserve"> en este </w:t>
      </w:r>
      <w:proofErr w:type="spellStart"/>
      <w:r>
        <w:rPr>
          <w:rFonts w:ascii="Arial" w:eastAsia="Arial" w:hAnsi="Arial" w:cs="Arial"/>
          <w:sz w:val="24"/>
          <w:szCs w:val="24"/>
        </w:rPr>
        <w:t>dataset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ni el perfil hormonal ni el </w:t>
      </w:r>
      <w:r>
        <w:rPr>
          <w:rFonts w:ascii="Arial" w:eastAsia="Arial" w:hAnsi="Arial" w:cs="Arial"/>
          <w:sz w:val="24"/>
          <w:szCs w:val="24"/>
        </w:rPr>
        <w:t>tamaño del nódulo discriminan el diagnóstico. Esto contradice la evidencia clínica y constituye una primera señal de que los datos fueron generados de manera sintética. No significa que estas variables carezcan de importancia en pacientes reales.</w:t>
      </w:r>
    </w:p>
    <w:p w14:paraId="2B22B17D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lastRenderedPageBreak/>
        <w:t>3.2 Análi</w:t>
      </w:r>
      <w:r>
        <w:rPr>
          <w:b/>
          <w:bCs/>
          <w:sz w:val="32"/>
          <w:szCs w:val="32"/>
        </w:rPr>
        <w:t>sis de la variable objetivo</w:t>
      </w:r>
    </w:p>
    <w:p w14:paraId="6CFFDEE0" w14:textId="77777777" w:rsidR="00A21BF2" w:rsidRDefault="00FB227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 wp14:anchorId="3B913ECB" wp14:editId="4E22D7CC">
            <wp:extent cx="3840480" cy="2522106"/>
            <wp:effectExtent l="0" t="0" r="0" b="0"/>
            <wp:docPr id="102" name="01_targe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01_targe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2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628BE" w14:textId="77777777" w:rsidR="00A21BF2" w:rsidRDefault="00FB2279">
      <w:pPr>
        <w:spacing w:before="40" w:after="160"/>
        <w:jc w:val="center"/>
      </w:pPr>
      <w:r>
        <w:rPr>
          <w:rFonts w:ascii="Arial" w:eastAsia="Arial" w:hAnsi="Arial" w:cs="Arial"/>
          <w:i/>
          <w:sz w:val="18"/>
          <w:szCs w:val="18"/>
        </w:rPr>
        <w:t>Figura 2. Distribución de la variable objetivo Diagnosis.</w:t>
      </w:r>
    </w:p>
    <w:p w14:paraId="0025D420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Lo que muestran los datos:</w:t>
      </w:r>
      <w:r>
        <w:rPr>
          <w:rFonts w:ascii="Arial" w:eastAsia="Arial" w:hAnsi="Arial" w:cs="Arial"/>
          <w:sz w:val="24"/>
          <w:szCs w:val="24"/>
        </w:rPr>
        <w:t xml:space="preserve"> 76.7 % de los pacientes son benignos y 23.3 % malignos (razón aproximada </w:t>
      </w:r>
      <w:proofErr w:type="gramStart"/>
      <w:r>
        <w:rPr>
          <w:rFonts w:ascii="Arial" w:eastAsia="Arial" w:hAnsi="Arial" w:cs="Arial"/>
          <w:sz w:val="24"/>
          <w:szCs w:val="24"/>
        </w:rPr>
        <w:t>3.3 :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1).</w:t>
      </w:r>
    </w:p>
    <w:p w14:paraId="46476D99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Interpretación del grupo:</w:t>
      </w:r>
      <w:r>
        <w:rPr>
          <w:rFonts w:ascii="Arial" w:eastAsia="Arial" w:hAnsi="Arial" w:cs="Arial"/>
          <w:sz w:val="24"/>
          <w:szCs w:val="24"/>
        </w:rPr>
        <w:t xml:space="preserve"> el desbalance es moderado. Un modelo que prediga siempre «</w:t>
      </w:r>
      <w:proofErr w:type="spellStart"/>
      <w:r>
        <w:rPr>
          <w:rFonts w:ascii="Arial" w:eastAsia="Arial" w:hAnsi="Arial" w:cs="Arial"/>
          <w:sz w:val="24"/>
          <w:szCs w:val="24"/>
        </w:rPr>
        <w:t>Benign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» obtendría 76.7 % de </w:t>
      </w:r>
      <w:proofErr w:type="spellStart"/>
      <w:r>
        <w:rPr>
          <w:rFonts w:ascii="Arial" w:eastAsia="Arial" w:hAnsi="Arial" w:cs="Arial"/>
          <w:sz w:val="24"/>
          <w:szCs w:val="24"/>
        </w:rPr>
        <w:t>accuracy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sin detectar ningún caso maligno; por ello se desca</w:t>
      </w:r>
      <w:r>
        <w:rPr>
          <w:rFonts w:ascii="Arial" w:eastAsia="Arial" w:hAnsi="Arial" w:cs="Arial"/>
          <w:sz w:val="24"/>
          <w:szCs w:val="24"/>
        </w:rPr>
        <w:t xml:space="preserve">rta la </w:t>
      </w:r>
      <w:proofErr w:type="spellStart"/>
      <w:r>
        <w:rPr>
          <w:rFonts w:ascii="Arial" w:eastAsia="Arial" w:hAnsi="Arial" w:cs="Arial"/>
          <w:sz w:val="24"/>
          <w:szCs w:val="24"/>
        </w:rPr>
        <w:t>accuracy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como métrica principal y se emplean </w:t>
      </w:r>
      <w:proofErr w:type="spellStart"/>
      <w:r>
        <w:rPr>
          <w:rFonts w:ascii="Arial" w:eastAsia="Arial" w:hAnsi="Arial" w:cs="Arial"/>
          <w:sz w:val="24"/>
          <w:szCs w:val="24"/>
        </w:rPr>
        <w:t>recall</w:t>
      </w:r>
      <w:proofErr w:type="spellEnd"/>
      <w:r>
        <w:rPr>
          <w:rFonts w:ascii="Arial" w:eastAsia="Arial" w:hAnsi="Arial" w:cs="Arial"/>
          <w:sz w:val="24"/>
          <w:szCs w:val="24"/>
        </w:rPr>
        <w:t>, precisión, F1, ROC-AUC y PR-AUC, junto con separación estratificada y pesos balanceados por clase.</w:t>
      </w:r>
    </w:p>
    <w:p w14:paraId="3D44533C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3.3 Relaciones entre variables</w:t>
      </w:r>
    </w:p>
    <w:p w14:paraId="013A060F" w14:textId="77777777" w:rsidR="00A21BF2" w:rsidRDefault="00FB227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 wp14:anchorId="29BD9616" wp14:editId="69338FD3">
            <wp:extent cx="5120640" cy="2694304"/>
            <wp:effectExtent l="0" t="0" r="0" b="0"/>
            <wp:docPr id="103" name="03_tasa_malignidad_binari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03_tasa_malignidad_binari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94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1816" w14:textId="77777777" w:rsidR="00A21BF2" w:rsidRDefault="00FB2279">
      <w:pPr>
        <w:spacing w:before="40" w:after="160"/>
        <w:jc w:val="center"/>
      </w:pPr>
      <w:r>
        <w:rPr>
          <w:rFonts w:ascii="Arial" w:eastAsia="Arial" w:hAnsi="Arial" w:cs="Arial"/>
          <w:i/>
          <w:sz w:val="18"/>
          <w:szCs w:val="18"/>
        </w:rPr>
        <w:t>Figura 3. Porcentaje de diagnósticos malignos según cada factor binario.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60"/>
        <w:gridCol w:w="1860"/>
        <w:gridCol w:w="1860"/>
        <w:gridCol w:w="1860"/>
        <w:gridCol w:w="1860"/>
      </w:tblGrid>
      <w:tr w:rsidR="00A21BF2" w14:paraId="7983225E" w14:textId="77777777">
        <w:trPr>
          <w:cantSplit/>
          <w:tblHeader/>
          <w:jc w:val="center"/>
        </w:trPr>
        <w:tc>
          <w:tcPr>
            <w:tcW w:w="1860" w:type="dxa"/>
            <w:shd w:val="clear" w:color="auto" w:fill="1F3864"/>
          </w:tcPr>
          <w:p w14:paraId="6D33C50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lastRenderedPageBreak/>
              <w:t>Factor</w:t>
            </w:r>
          </w:p>
        </w:tc>
        <w:tc>
          <w:tcPr>
            <w:tcW w:w="1860" w:type="dxa"/>
            <w:shd w:val="clear" w:color="auto" w:fill="1F3864"/>
          </w:tcPr>
          <w:p w14:paraId="761A9C5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% malignos (Sí)</w:t>
            </w:r>
          </w:p>
        </w:tc>
        <w:tc>
          <w:tcPr>
            <w:tcW w:w="1860" w:type="dxa"/>
            <w:shd w:val="clear" w:color="auto" w:fill="1F3864"/>
          </w:tcPr>
          <w:p w14:paraId="75ED4C8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% malignos (No)</w:t>
            </w:r>
          </w:p>
        </w:tc>
        <w:tc>
          <w:tcPr>
            <w:tcW w:w="1860" w:type="dxa"/>
            <w:shd w:val="clear" w:color="auto" w:fill="1F3864"/>
          </w:tcPr>
          <w:p w14:paraId="2B9F13B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Riesgo relativo</w:t>
            </w:r>
          </w:p>
        </w:tc>
        <w:tc>
          <w:tcPr>
            <w:tcW w:w="1860" w:type="dxa"/>
            <w:shd w:val="clear" w:color="auto" w:fill="1F3864"/>
          </w:tcPr>
          <w:p w14:paraId="10C53B5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V de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Cramér</w:t>
            </w:r>
            <w:proofErr w:type="spellEnd"/>
          </w:p>
        </w:tc>
      </w:tr>
      <w:tr w:rsidR="00A21BF2" w14:paraId="4E53795E" w14:textId="77777777">
        <w:trPr>
          <w:cantSplit/>
          <w:jc w:val="center"/>
        </w:trPr>
        <w:tc>
          <w:tcPr>
            <w:tcW w:w="1860" w:type="dxa"/>
          </w:tcPr>
          <w:p w14:paraId="36CA6A35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Family_History</w:t>
            </w:r>
            <w:proofErr w:type="spellEnd"/>
          </w:p>
        </w:tc>
        <w:tc>
          <w:tcPr>
            <w:tcW w:w="1860" w:type="dxa"/>
          </w:tcPr>
          <w:p w14:paraId="0E59490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32.4 %</w:t>
            </w:r>
          </w:p>
        </w:tc>
        <w:tc>
          <w:tcPr>
            <w:tcW w:w="1860" w:type="dxa"/>
          </w:tcPr>
          <w:p w14:paraId="12542A6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19.4 %</w:t>
            </w:r>
          </w:p>
        </w:tc>
        <w:tc>
          <w:tcPr>
            <w:tcW w:w="1860" w:type="dxa"/>
          </w:tcPr>
          <w:p w14:paraId="41EA769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1.67</w:t>
            </w:r>
          </w:p>
        </w:tc>
        <w:tc>
          <w:tcPr>
            <w:tcW w:w="1860" w:type="dxa"/>
          </w:tcPr>
          <w:p w14:paraId="5AD5921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0.141</w:t>
            </w:r>
          </w:p>
        </w:tc>
      </w:tr>
      <w:tr w:rsidR="00A21BF2" w14:paraId="30293B8D" w14:textId="77777777">
        <w:trPr>
          <w:cantSplit/>
          <w:jc w:val="center"/>
        </w:trPr>
        <w:tc>
          <w:tcPr>
            <w:tcW w:w="1860" w:type="dxa"/>
          </w:tcPr>
          <w:p w14:paraId="7363D746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Iodine_Deficiency</w:t>
            </w:r>
            <w:proofErr w:type="spellEnd"/>
          </w:p>
        </w:tc>
        <w:tc>
          <w:tcPr>
            <w:tcW w:w="1860" w:type="dxa"/>
          </w:tcPr>
          <w:p w14:paraId="5846873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30.5 %</w:t>
            </w:r>
          </w:p>
        </w:tc>
        <w:tc>
          <w:tcPr>
            <w:tcW w:w="1860" w:type="dxa"/>
          </w:tcPr>
          <w:p w14:paraId="24BF6E9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20.9 %</w:t>
            </w:r>
          </w:p>
        </w:tc>
        <w:tc>
          <w:tcPr>
            <w:tcW w:w="1860" w:type="dxa"/>
          </w:tcPr>
          <w:p w14:paraId="5F02E74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1.46</w:t>
            </w:r>
          </w:p>
        </w:tc>
        <w:tc>
          <w:tcPr>
            <w:tcW w:w="1860" w:type="dxa"/>
          </w:tcPr>
          <w:p w14:paraId="0D70819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0.099</w:t>
            </w:r>
          </w:p>
        </w:tc>
      </w:tr>
      <w:tr w:rsidR="00A21BF2" w14:paraId="1FFCCE56" w14:textId="77777777">
        <w:trPr>
          <w:cantSplit/>
          <w:jc w:val="center"/>
        </w:trPr>
        <w:tc>
          <w:tcPr>
            <w:tcW w:w="1860" w:type="dxa"/>
          </w:tcPr>
          <w:p w14:paraId="38DE700F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Radiation_Exposure</w:t>
            </w:r>
            <w:proofErr w:type="spellEnd"/>
          </w:p>
        </w:tc>
        <w:tc>
          <w:tcPr>
            <w:tcW w:w="1860" w:type="dxa"/>
          </w:tcPr>
          <w:p w14:paraId="487DAF2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32.2 %</w:t>
            </w:r>
          </w:p>
        </w:tc>
        <w:tc>
          <w:tcPr>
            <w:tcW w:w="1860" w:type="dxa"/>
          </w:tcPr>
          <w:p w14:paraId="18B4BAB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21.7 %</w:t>
            </w:r>
          </w:p>
        </w:tc>
        <w:tc>
          <w:tcPr>
            <w:tcW w:w="1860" w:type="dxa"/>
          </w:tcPr>
          <w:p w14:paraId="686ADE2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1.49</w:t>
            </w:r>
          </w:p>
        </w:tc>
        <w:tc>
          <w:tcPr>
            <w:tcW w:w="1860" w:type="dxa"/>
          </w:tcPr>
          <w:p w14:paraId="66D8A34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0.089</w:t>
            </w:r>
          </w:p>
        </w:tc>
      </w:tr>
      <w:tr w:rsidR="00A21BF2" w14:paraId="773BC10B" w14:textId="77777777">
        <w:trPr>
          <w:cantSplit/>
          <w:jc w:val="center"/>
        </w:trPr>
        <w:tc>
          <w:tcPr>
            <w:tcW w:w="1860" w:type="dxa"/>
          </w:tcPr>
          <w:p w14:paraId="4084702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Diabetes</w:t>
            </w:r>
          </w:p>
        </w:tc>
        <w:tc>
          <w:tcPr>
            <w:tcW w:w="1860" w:type="dxa"/>
          </w:tcPr>
          <w:p w14:paraId="33CFDA9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23.0 %</w:t>
            </w:r>
          </w:p>
        </w:tc>
        <w:tc>
          <w:tcPr>
            <w:tcW w:w="1860" w:type="dxa"/>
          </w:tcPr>
          <w:p w14:paraId="4800C85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23.3 %</w:t>
            </w:r>
          </w:p>
        </w:tc>
        <w:tc>
          <w:tcPr>
            <w:tcW w:w="1860" w:type="dxa"/>
          </w:tcPr>
          <w:p w14:paraId="6111848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0.99</w:t>
            </w:r>
          </w:p>
        </w:tc>
        <w:tc>
          <w:tcPr>
            <w:tcW w:w="1860" w:type="dxa"/>
          </w:tcPr>
          <w:p w14:paraId="7815CBE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0.003</w:t>
            </w:r>
          </w:p>
        </w:tc>
      </w:tr>
      <w:tr w:rsidR="00A21BF2" w14:paraId="7E45A5E8" w14:textId="77777777">
        <w:trPr>
          <w:cantSplit/>
          <w:jc w:val="center"/>
        </w:trPr>
        <w:tc>
          <w:tcPr>
            <w:tcW w:w="1860" w:type="dxa"/>
          </w:tcPr>
          <w:p w14:paraId="4A69AD52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Gender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Female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vs Male)</w:t>
            </w:r>
          </w:p>
        </w:tc>
        <w:tc>
          <w:tcPr>
            <w:tcW w:w="1860" w:type="dxa"/>
          </w:tcPr>
          <w:p w14:paraId="532AF30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23.3 %</w:t>
            </w:r>
          </w:p>
        </w:tc>
        <w:tc>
          <w:tcPr>
            <w:tcW w:w="1860" w:type="dxa"/>
          </w:tcPr>
          <w:p w14:paraId="31BA8EB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23.2 %</w:t>
            </w:r>
          </w:p>
        </w:tc>
        <w:tc>
          <w:tcPr>
            <w:tcW w:w="1860" w:type="dxa"/>
          </w:tcPr>
          <w:p w14:paraId="5D01D24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1.01</w:t>
            </w:r>
          </w:p>
        </w:tc>
        <w:tc>
          <w:tcPr>
            <w:tcW w:w="1860" w:type="dxa"/>
          </w:tcPr>
          <w:p w14:paraId="29ECD8C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0.001</w:t>
            </w:r>
          </w:p>
        </w:tc>
      </w:tr>
      <w:tr w:rsidR="00A21BF2" w14:paraId="513F00D2" w14:textId="77777777">
        <w:trPr>
          <w:cantSplit/>
          <w:jc w:val="center"/>
        </w:trPr>
        <w:tc>
          <w:tcPr>
            <w:tcW w:w="1860" w:type="dxa"/>
          </w:tcPr>
          <w:p w14:paraId="50FA9E08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Obesity</w:t>
            </w:r>
            <w:proofErr w:type="spellEnd"/>
          </w:p>
        </w:tc>
        <w:tc>
          <w:tcPr>
            <w:tcW w:w="1860" w:type="dxa"/>
          </w:tcPr>
          <w:p w14:paraId="398D705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23.2 %</w:t>
            </w:r>
          </w:p>
        </w:tc>
        <w:tc>
          <w:tcPr>
            <w:tcW w:w="1860" w:type="dxa"/>
          </w:tcPr>
          <w:p w14:paraId="021BDF3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23.3 %</w:t>
            </w:r>
          </w:p>
        </w:tc>
        <w:tc>
          <w:tcPr>
            <w:tcW w:w="1860" w:type="dxa"/>
          </w:tcPr>
          <w:p w14:paraId="024E6B5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1.00</w:t>
            </w:r>
          </w:p>
        </w:tc>
        <w:tc>
          <w:tcPr>
            <w:tcW w:w="1860" w:type="dxa"/>
          </w:tcPr>
          <w:p w14:paraId="1578AAD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0.001</w:t>
            </w:r>
          </w:p>
        </w:tc>
      </w:tr>
      <w:tr w:rsidR="00A21BF2" w14:paraId="07EB29F0" w14:textId="77777777">
        <w:trPr>
          <w:cantSplit/>
          <w:jc w:val="center"/>
        </w:trPr>
        <w:tc>
          <w:tcPr>
            <w:tcW w:w="1860" w:type="dxa"/>
          </w:tcPr>
          <w:p w14:paraId="790F612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Smoking</w:t>
            </w:r>
          </w:p>
        </w:tc>
        <w:tc>
          <w:tcPr>
            <w:tcW w:w="1860" w:type="dxa"/>
          </w:tcPr>
          <w:p w14:paraId="5E0E2BB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23.3 %</w:t>
            </w:r>
          </w:p>
        </w:tc>
        <w:tc>
          <w:tcPr>
            <w:tcW w:w="1860" w:type="dxa"/>
          </w:tcPr>
          <w:p w14:paraId="60B1027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23.3 %</w:t>
            </w:r>
          </w:p>
        </w:tc>
        <w:tc>
          <w:tcPr>
            <w:tcW w:w="1860" w:type="dxa"/>
          </w:tcPr>
          <w:p w14:paraId="01B9A04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1.00</w:t>
            </w:r>
          </w:p>
        </w:tc>
        <w:tc>
          <w:tcPr>
            <w:tcW w:w="1860" w:type="dxa"/>
          </w:tcPr>
          <w:p w14:paraId="4945701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0.001</w:t>
            </w:r>
          </w:p>
        </w:tc>
      </w:tr>
    </w:tbl>
    <w:p w14:paraId="63B48A0B" w14:textId="77777777" w:rsidR="00A21BF2" w:rsidRDefault="00A21BF2">
      <w:pPr>
        <w:spacing w:after="60"/>
        <w:jc w:val="both"/>
      </w:pPr>
    </w:p>
    <w:p w14:paraId="2020A822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Lo que muestran los datos:</w:t>
      </w:r>
      <w:r>
        <w:rPr>
          <w:rFonts w:ascii="Arial" w:eastAsia="Arial" w:hAnsi="Arial" w:cs="Arial"/>
          <w:sz w:val="24"/>
          <w:szCs w:val="24"/>
        </w:rPr>
        <w:t xml:space="preserve"> solo el antecedente familiar, la exposición a radiación y la deficiencia de yodo elevan la tasa de malignidad (riesgo relativo entre 1.46 y 1.67). Tabaquismo, obesidad, diabetes y sexo presentan tasas iguales a la global.</w:t>
      </w:r>
    </w:p>
    <w:p w14:paraId="1FDED58E" w14:textId="77777777" w:rsidR="00A21BF2" w:rsidRDefault="00FB227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 wp14:anchorId="7A217694" wp14:editId="70CEFF4D">
            <wp:extent cx="3840480" cy="3423332"/>
            <wp:effectExtent l="0" t="0" r="0" b="0"/>
            <wp:docPr id="104" name="05_correlac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05_correla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42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35AB7" w14:textId="77777777" w:rsidR="00A21BF2" w:rsidRDefault="00FB2279">
      <w:pPr>
        <w:spacing w:before="40" w:after="160"/>
        <w:jc w:val="center"/>
      </w:pPr>
      <w:r>
        <w:rPr>
          <w:rFonts w:ascii="Arial" w:eastAsia="Arial" w:hAnsi="Arial" w:cs="Arial"/>
          <w:i/>
          <w:sz w:val="18"/>
          <w:szCs w:val="18"/>
        </w:rPr>
        <w:t>Figura 4. Matriz de correlación</w:t>
      </w:r>
      <w:r>
        <w:rPr>
          <w:rFonts w:ascii="Arial" w:eastAsia="Arial" w:hAnsi="Arial" w:cs="Arial"/>
          <w:i/>
          <w:sz w:val="18"/>
          <w:szCs w:val="18"/>
        </w:rPr>
        <w:t xml:space="preserve"> de Spearman entre variables numéricas y el diagnóstico.</w:t>
      </w:r>
    </w:p>
    <w:p w14:paraId="75ABE5CF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Interpretación del grupo:</w:t>
      </w:r>
      <w:r>
        <w:rPr>
          <w:rFonts w:ascii="Arial" w:eastAsia="Arial" w:hAnsi="Arial" w:cs="Arial"/>
          <w:sz w:val="24"/>
          <w:szCs w:val="24"/>
        </w:rPr>
        <w:t xml:space="preserve"> los tres factores con efecto son factores de riesgo reconocidos en la literatura. Sin embargo, el tamaño del efecto es pequeño (V de </w:t>
      </w:r>
      <w:proofErr w:type="spellStart"/>
      <w:r>
        <w:rPr>
          <w:rFonts w:ascii="Arial" w:eastAsia="Arial" w:hAnsi="Arial" w:cs="Arial"/>
          <w:sz w:val="24"/>
          <w:szCs w:val="24"/>
        </w:rPr>
        <w:t>Cramér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≤ 0.14). Las correlaciones entre </w:t>
      </w:r>
      <w:r>
        <w:rPr>
          <w:rFonts w:ascii="Arial" w:eastAsia="Arial" w:hAnsi="Arial" w:cs="Arial"/>
          <w:sz w:val="24"/>
          <w:szCs w:val="24"/>
        </w:rPr>
        <w:t xml:space="preserve">variables numéricas son nulas (incluida TSH–T4, que fisiológicamente deberían relacionarse), por lo que no existe </w:t>
      </w:r>
      <w:proofErr w:type="gramStart"/>
      <w:r>
        <w:rPr>
          <w:rFonts w:ascii="Arial" w:eastAsia="Arial" w:hAnsi="Arial" w:cs="Arial"/>
          <w:sz w:val="24"/>
          <w:szCs w:val="24"/>
        </w:rPr>
        <w:t>multicolinealidad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pero sí una nueva señal de generación independiente de las variables.</w:t>
      </w:r>
    </w:p>
    <w:p w14:paraId="5E9C3367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lastRenderedPageBreak/>
        <w:t>3.4 Diferencias entre grupos</w:t>
      </w:r>
    </w:p>
    <w:p w14:paraId="296CE457" w14:textId="77777777" w:rsidR="00A21BF2" w:rsidRDefault="00FB227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 wp14:anchorId="502530C5" wp14:editId="3DCCE2E3">
            <wp:extent cx="5852160" cy="1934598"/>
            <wp:effectExtent l="0" t="0" r="0" b="0"/>
            <wp:docPr id="105" name="04_tasa_por_pais_etn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04_tasa_por_pais_etn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3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0A2FD" w14:textId="77777777" w:rsidR="00A21BF2" w:rsidRDefault="00FB2279">
      <w:pPr>
        <w:spacing w:before="40" w:after="160"/>
        <w:jc w:val="center"/>
      </w:pPr>
      <w:r>
        <w:rPr>
          <w:rFonts w:ascii="Arial" w:eastAsia="Arial" w:hAnsi="Arial" w:cs="Arial"/>
          <w:i/>
          <w:sz w:val="18"/>
          <w:szCs w:val="18"/>
        </w:rPr>
        <w:t>Figura 5. Porcentaje de</w:t>
      </w:r>
      <w:r>
        <w:rPr>
          <w:rFonts w:ascii="Arial" w:eastAsia="Arial" w:hAnsi="Arial" w:cs="Arial"/>
          <w:i/>
          <w:sz w:val="18"/>
          <w:szCs w:val="18"/>
        </w:rPr>
        <w:t xml:space="preserve"> diagnósticos malignos por país y por etnia.</w:t>
      </w:r>
    </w:p>
    <w:p w14:paraId="4EF9A564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Lo que muestran los datos:</w:t>
      </w:r>
      <w:r>
        <w:rPr>
          <w:rFonts w:ascii="Arial" w:eastAsia="Arial" w:hAnsi="Arial" w:cs="Arial"/>
          <w:sz w:val="24"/>
          <w:szCs w:val="24"/>
        </w:rPr>
        <w:t xml:space="preserve"> India (≈ 33 %) y la etnia </w:t>
      </w:r>
      <w:proofErr w:type="spellStart"/>
      <w:r>
        <w:rPr>
          <w:rFonts w:ascii="Arial" w:eastAsia="Arial" w:hAnsi="Arial" w:cs="Arial"/>
          <w:sz w:val="24"/>
          <w:szCs w:val="24"/>
        </w:rPr>
        <w:t>Asian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(≈ 33.5 %) presentan una proporción de malignos claramente superior; </w:t>
      </w:r>
      <w:proofErr w:type="spellStart"/>
      <w:r>
        <w:rPr>
          <w:rFonts w:ascii="Arial" w:eastAsia="Arial" w:hAnsi="Arial" w:cs="Arial"/>
          <w:sz w:val="24"/>
          <w:szCs w:val="24"/>
        </w:rPr>
        <w:t>African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está levemente por encima (≈ 25.5 %) y el resto de grupos se ubica entre 18</w:t>
      </w:r>
      <w:r>
        <w:rPr>
          <w:rFonts w:ascii="Arial" w:eastAsia="Arial" w:hAnsi="Arial" w:cs="Arial"/>
          <w:sz w:val="24"/>
          <w:szCs w:val="24"/>
        </w:rPr>
        <w:t xml:space="preserve"> % y 21 %.</w:t>
      </w:r>
    </w:p>
    <w:p w14:paraId="5A4AD33B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Interpretación del grupo:</w:t>
      </w:r>
      <w:r>
        <w:rPr>
          <w:rFonts w:ascii="Arial" w:eastAsia="Arial" w:hAnsi="Arial" w:cs="Arial"/>
          <w:sz w:val="24"/>
          <w:szCs w:val="24"/>
        </w:rPr>
        <w:t xml:space="preserve"> es la diferencia entre grupos más marcada del </w:t>
      </w:r>
      <w:proofErr w:type="spellStart"/>
      <w:r>
        <w:rPr>
          <w:rFonts w:ascii="Arial" w:eastAsia="Arial" w:hAnsi="Arial" w:cs="Arial"/>
          <w:sz w:val="24"/>
          <w:szCs w:val="24"/>
        </w:rPr>
        <w:t>dataset</w:t>
      </w:r>
      <w:proofErr w:type="spellEnd"/>
      <w:r>
        <w:rPr>
          <w:rFonts w:ascii="Arial" w:eastAsia="Arial" w:hAnsi="Arial" w:cs="Arial"/>
          <w:sz w:val="24"/>
          <w:szCs w:val="24"/>
        </w:rPr>
        <w:t>. No obstante, debe leerse con cautela: dado el origen sintético, puede reflejar una regla del generador de datos y no un efecto geográfico o étnico real.</w:t>
      </w:r>
    </w:p>
    <w:p w14:paraId="0396597A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3.5 Posible</w:t>
      </w:r>
      <w:r>
        <w:rPr>
          <w:b/>
          <w:bCs/>
          <w:sz w:val="32"/>
          <w:szCs w:val="32"/>
        </w:rPr>
        <w:t>s patrones y anomalías</w:t>
      </w:r>
    </w:p>
    <w:p w14:paraId="39F34508" w14:textId="77777777" w:rsidR="00A21BF2" w:rsidRDefault="00FB227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 wp14:anchorId="7828F8D3" wp14:editId="56DEB91A">
            <wp:extent cx="4206240" cy="2499650"/>
            <wp:effectExtent l="0" t="0" r="0" b="0"/>
            <wp:docPr id="106" name="06_riesgo_vs_diagnostic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06_riesgo_vs_diagnosti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49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C2816" w14:textId="77777777" w:rsidR="00A21BF2" w:rsidRDefault="00FB2279">
      <w:pPr>
        <w:spacing w:before="40" w:after="160"/>
        <w:jc w:val="center"/>
      </w:pPr>
      <w:r>
        <w:rPr>
          <w:rFonts w:ascii="Arial" w:eastAsia="Arial" w:hAnsi="Arial" w:cs="Arial"/>
          <w:i/>
          <w:sz w:val="18"/>
          <w:szCs w:val="18"/>
        </w:rPr>
        <w:t xml:space="preserve">Figura 6. Diagnóstico según el nivel de riesgo </w:t>
      </w:r>
      <w:proofErr w:type="spellStart"/>
      <w:r>
        <w:rPr>
          <w:rFonts w:ascii="Arial" w:eastAsia="Arial" w:hAnsi="Arial" w:cs="Arial"/>
          <w:i/>
          <w:sz w:val="18"/>
          <w:szCs w:val="18"/>
        </w:rPr>
        <w:t>precalculado</w:t>
      </w:r>
      <w:proofErr w:type="spellEnd"/>
      <w:r>
        <w:rPr>
          <w:rFonts w:ascii="Arial" w:eastAsia="Arial" w:hAnsi="Arial" w:cs="Arial"/>
          <w:i/>
          <w:sz w:val="18"/>
          <w:szCs w:val="18"/>
        </w:rPr>
        <w:t xml:space="preserve"> (</w:t>
      </w:r>
      <w:proofErr w:type="spellStart"/>
      <w:r>
        <w:rPr>
          <w:rFonts w:ascii="Arial" w:eastAsia="Arial" w:hAnsi="Arial" w:cs="Arial"/>
          <w:i/>
          <w:sz w:val="18"/>
          <w:szCs w:val="18"/>
        </w:rPr>
        <w:t>Thyroid_Cancer_Risk</w:t>
      </w:r>
      <w:proofErr w:type="spellEnd"/>
      <w:r>
        <w:rPr>
          <w:rFonts w:ascii="Arial" w:eastAsia="Arial" w:hAnsi="Arial" w:cs="Arial"/>
          <w:i/>
          <w:sz w:val="18"/>
          <w:szCs w:val="18"/>
        </w:rPr>
        <w:t>).</w:t>
      </w:r>
    </w:p>
    <w:p w14:paraId="1B8AA837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Lo que muestran los datos:</w:t>
      </w:r>
      <w:r>
        <w:rPr>
          <w:rFonts w:ascii="Arial" w:eastAsia="Arial" w:hAnsi="Arial" w:cs="Arial"/>
          <w:sz w:val="24"/>
          <w:szCs w:val="24"/>
        </w:rPr>
        <w:t xml:space="preserve"> los pacientes con riesgo High tienen 70 % de diagnósticos malignos, mientras que Low y Medium tienen exactamente la misma</w:t>
      </w:r>
      <w:r>
        <w:rPr>
          <w:rFonts w:ascii="Arial" w:eastAsia="Arial" w:hAnsi="Arial" w:cs="Arial"/>
          <w:sz w:val="24"/>
          <w:szCs w:val="24"/>
        </w:rPr>
        <w:t xml:space="preserve"> tasa (≈ 15 %) y el mismo perfil de factores. Los pacientes High concentran los factores con efecto: 63 % tiene antecedente familiar (vs 24 %), 44 % es de India (vs 16 %) y 56 % es de etnia asiática (vs 20 %).</w:t>
      </w:r>
    </w:p>
    <w:p w14:paraId="3163FFC0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>Interpretación del grupo:</w:t>
      </w:r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Thyroid_Cancer_Risk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 xml:space="preserve">se comporta como un puntaje derivado de los mismos factores y muy cercano al resultado. Como se desconoce cómo y cuándo se calculó, su uso como predictor podría introducir fuga de información; por ello se excluye del modelo y se utiliza como regla </w:t>
      </w:r>
      <w:proofErr w:type="spellStart"/>
      <w:r>
        <w:rPr>
          <w:rFonts w:ascii="Arial" w:eastAsia="Arial" w:hAnsi="Arial" w:cs="Arial"/>
          <w:sz w:val="24"/>
          <w:szCs w:val="24"/>
        </w:rPr>
        <w:t>baseline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del dominio («High ⇒ </w:t>
      </w:r>
      <w:proofErr w:type="spellStart"/>
      <w:r>
        <w:rPr>
          <w:rFonts w:ascii="Arial" w:eastAsia="Arial" w:hAnsi="Arial" w:cs="Arial"/>
          <w:sz w:val="24"/>
          <w:szCs w:val="24"/>
        </w:rPr>
        <w:t>Malignant</w:t>
      </w:r>
      <w:proofErr w:type="spellEnd"/>
      <w:r>
        <w:rPr>
          <w:rFonts w:ascii="Arial" w:eastAsia="Arial" w:hAnsi="Arial" w:cs="Arial"/>
          <w:sz w:val="24"/>
          <w:szCs w:val="24"/>
        </w:rPr>
        <w:t>»). Además, la categoría Medium no aporta información distinta de Low.</w:t>
      </w:r>
    </w:p>
    <w:p w14:paraId="6457444F" w14:textId="77777777" w:rsidR="00A21BF2" w:rsidRDefault="00FB227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 wp14:anchorId="396FFD6D" wp14:editId="185A166B">
            <wp:extent cx="4389120" cy="2540124"/>
            <wp:effectExtent l="0" t="0" r="0" b="0"/>
            <wp:docPr id="107" name="07_pais_vs_etn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07_pais_vs_etn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4898F" w14:textId="77777777" w:rsidR="00A21BF2" w:rsidRDefault="00FB2279">
      <w:pPr>
        <w:spacing w:before="40" w:after="160"/>
        <w:jc w:val="center"/>
      </w:pPr>
      <w:r>
        <w:rPr>
          <w:rFonts w:ascii="Arial" w:eastAsia="Arial" w:hAnsi="Arial" w:cs="Arial"/>
          <w:i/>
          <w:sz w:val="18"/>
          <w:szCs w:val="18"/>
        </w:rPr>
        <w:t>Figura 7. Composición étnica dentro de cada país (porcentaje por fila).</w:t>
      </w:r>
    </w:p>
    <w:p w14:paraId="147DD3EC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Lo que muestran los datos:</w:t>
      </w:r>
      <w:r>
        <w:rPr>
          <w:rFonts w:ascii="Arial" w:eastAsia="Arial" w:hAnsi="Arial" w:cs="Arial"/>
          <w:sz w:val="24"/>
          <w:szCs w:val="24"/>
        </w:rPr>
        <w:t xml:space="preserve"> la distribución étnica es la misma en todos los países (≈ 30 % </w:t>
      </w:r>
      <w:proofErr w:type="spellStart"/>
      <w:r>
        <w:rPr>
          <w:rFonts w:ascii="Arial" w:eastAsia="Arial" w:hAnsi="Arial" w:cs="Arial"/>
          <w:sz w:val="24"/>
          <w:szCs w:val="24"/>
        </w:rPr>
        <w:t>Caucasian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25 % </w:t>
      </w:r>
      <w:proofErr w:type="spellStart"/>
      <w:r>
        <w:rPr>
          <w:rFonts w:ascii="Arial" w:eastAsia="Arial" w:hAnsi="Arial" w:cs="Arial"/>
          <w:sz w:val="24"/>
          <w:szCs w:val="24"/>
        </w:rPr>
        <w:t>Asian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20 % </w:t>
      </w:r>
      <w:proofErr w:type="spellStart"/>
      <w:r>
        <w:rPr>
          <w:rFonts w:ascii="Arial" w:eastAsia="Arial" w:hAnsi="Arial" w:cs="Arial"/>
          <w:sz w:val="24"/>
          <w:szCs w:val="24"/>
        </w:rPr>
        <w:t>African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15 % </w:t>
      </w:r>
      <w:proofErr w:type="spellStart"/>
      <w:r>
        <w:rPr>
          <w:rFonts w:ascii="Arial" w:eastAsia="Arial" w:hAnsi="Arial" w:cs="Arial"/>
          <w:sz w:val="24"/>
          <w:szCs w:val="24"/>
        </w:rPr>
        <w:t>Hispanic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10 % </w:t>
      </w:r>
      <w:proofErr w:type="spellStart"/>
      <w:r>
        <w:rPr>
          <w:rFonts w:ascii="Arial" w:eastAsia="Arial" w:hAnsi="Arial" w:cs="Arial"/>
          <w:sz w:val="24"/>
          <w:szCs w:val="24"/>
        </w:rPr>
        <w:t>Middle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Eastern), incluso en Nigeria o Japón.</w:t>
      </w:r>
    </w:p>
    <w:p w14:paraId="3A37B537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Interpretación del grupo:</w:t>
      </w:r>
      <w:r>
        <w:rPr>
          <w:rFonts w:ascii="Arial" w:eastAsia="Arial" w:hAnsi="Arial" w:cs="Arial"/>
          <w:sz w:val="24"/>
          <w:szCs w:val="24"/>
        </w:rPr>
        <w:t xml:space="preserve"> este patrón es imposible en una población real y confirma que el</w:t>
      </w:r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dataset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es sintético. Las conclusiones del proyecto serán válidas sobre este conjunto de datos y no deben generalizarse a la práctica clínica.</w:t>
      </w:r>
    </w:p>
    <w:p w14:paraId="062FDD78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3.6 Problemas de calidad que condicionen decisiones posteriores</w:t>
      </w:r>
    </w:p>
    <w:p w14:paraId="754FF9F1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Thyroid_Cancer_Risk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es redundante y potencial</w:t>
      </w:r>
      <w:r>
        <w:rPr>
          <w:rFonts w:ascii="Arial" w:eastAsia="Arial" w:hAnsi="Arial" w:cs="Arial"/>
          <w:sz w:val="24"/>
          <w:szCs w:val="24"/>
        </w:rPr>
        <w:t>mente con fuga: se excluye de los predictores.</w:t>
      </w:r>
    </w:p>
    <w:p w14:paraId="183478FB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Señal concentrada en pocas variables</w:t>
      </w:r>
      <w:r>
        <w:rPr>
          <w:rFonts w:ascii="Arial" w:eastAsia="Arial" w:hAnsi="Arial" w:cs="Arial"/>
          <w:sz w:val="24"/>
          <w:szCs w:val="24"/>
        </w:rPr>
        <w:t xml:space="preserve"> (antecedente familiar, radiación, yodo, India / </w:t>
      </w:r>
      <w:proofErr w:type="spellStart"/>
      <w:r>
        <w:rPr>
          <w:rFonts w:ascii="Arial" w:eastAsia="Arial" w:hAnsi="Arial" w:cs="Arial"/>
          <w:sz w:val="24"/>
          <w:szCs w:val="24"/>
        </w:rPr>
        <w:t>Asian</w:t>
      </w:r>
      <w:proofErr w:type="spellEnd"/>
      <w:r>
        <w:rPr>
          <w:rFonts w:ascii="Arial" w:eastAsia="Arial" w:hAnsi="Arial" w:cs="Arial"/>
          <w:sz w:val="24"/>
          <w:szCs w:val="24"/>
        </w:rPr>
        <w:t>): se espera un techo de desempeño moderado, independientemente del algoritmo.</w:t>
      </w:r>
    </w:p>
    <w:p w14:paraId="3011F459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Desbalance de clases</w:t>
      </w:r>
      <w:r>
        <w:rPr>
          <w:rFonts w:ascii="Arial" w:eastAsia="Arial" w:hAnsi="Arial" w:cs="Arial"/>
          <w:sz w:val="24"/>
          <w:szCs w:val="24"/>
        </w:rPr>
        <w:t xml:space="preserve"> (23.3 % malignos): obliga a estratificar y a usar métricas centradas en la clase positiva.</w:t>
      </w:r>
    </w:p>
    <w:p w14:paraId="3BD7D8E4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Valores hormonales poco plausibles</w:t>
      </w:r>
      <w:r>
        <w:rPr>
          <w:rFonts w:ascii="Arial" w:eastAsia="Arial" w:hAnsi="Arial" w:cs="Arial"/>
          <w:sz w:val="24"/>
          <w:szCs w:val="24"/>
        </w:rPr>
        <w:t xml:space="preserve"> en combinación (TSH alta con T4 alta): se documentan como riesgo, pero no se corrigen por falta de criteri</w:t>
      </w:r>
      <w:r>
        <w:rPr>
          <w:rFonts w:ascii="Arial" w:eastAsia="Arial" w:hAnsi="Arial" w:cs="Arial"/>
          <w:sz w:val="24"/>
          <w:szCs w:val="24"/>
        </w:rPr>
        <w:t>o clínico y de información sobre unidades.</w:t>
      </w:r>
    </w:p>
    <w:p w14:paraId="62A88582" w14:textId="77777777" w:rsidR="00A21BF2" w:rsidRDefault="00FB2279">
      <w:pPr>
        <w:spacing w:before="240" w:after="240"/>
      </w:pPr>
      <w:r>
        <w:br w:type="page"/>
      </w:r>
      <w:r>
        <w:rPr>
          <w:b/>
          <w:bCs/>
          <w:sz w:val="36"/>
          <w:szCs w:val="36"/>
        </w:rPr>
        <w:lastRenderedPageBreak/>
        <w:t>4. Calidad y Preparación de Datos</w:t>
      </w:r>
    </w:p>
    <w:p w14:paraId="7616AE88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 xml:space="preserve">El análisis de calidad se implementó en src/data.py (funciones </w:t>
      </w:r>
      <w:proofErr w:type="spellStart"/>
      <w:r>
        <w:rPr>
          <w:rFonts w:ascii="Arial" w:eastAsia="Arial" w:hAnsi="Arial" w:cs="Arial"/>
          <w:sz w:val="24"/>
          <w:szCs w:val="24"/>
        </w:rPr>
        <w:t>quality_report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sz w:val="24"/>
          <w:szCs w:val="24"/>
        </w:rPr>
        <w:t>clean</w:t>
      </w:r>
      <w:proofErr w:type="spellEnd"/>
      <w:r>
        <w:rPr>
          <w:rFonts w:ascii="Arial" w:eastAsia="Arial" w:hAnsi="Arial" w:cs="Arial"/>
          <w:sz w:val="24"/>
          <w:szCs w:val="24"/>
        </w:rPr>
        <w:t>) y en la sección 4 del notebook. Para cada aspecto se presenta el hallazgo y la decisión ado</w:t>
      </w:r>
      <w:r>
        <w:rPr>
          <w:rFonts w:ascii="Arial" w:eastAsia="Arial" w:hAnsi="Arial" w:cs="Arial"/>
          <w:sz w:val="24"/>
          <w:szCs w:val="24"/>
        </w:rPr>
        <w:t>ptada con su justificación.</w:t>
      </w:r>
    </w:p>
    <w:p w14:paraId="5F327D3B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4.1 Valores faltantes</w:t>
      </w:r>
    </w:p>
    <w:p w14:paraId="2EFB3AF1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 xml:space="preserve">No existen valores faltantes en ninguna de las 17 columnas (212 691 valores no nulos por columna). </w:t>
      </w:r>
      <w:r>
        <w:rPr>
          <w:rFonts w:ascii="Arial" w:eastAsia="Arial" w:hAnsi="Arial" w:cs="Arial"/>
          <w:b/>
          <w:bCs/>
          <w:sz w:val="24"/>
          <w:szCs w:val="24"/>
        </w:rPr>
        <w:t>Decisión:</w:t>
      </w:r>
      <w:r>
        <w:rPr>
          <w:rFonts w:ascii="Arial" w:eastAsia="Arial" w:hAnsi="Arial" w:cs="Arial"/>
          <w:sz w:val="24"/>
          <w:szCs w:val="24"/>
        </w:rPr>
        <w:t xml:space="preserve"> no se imputa ni se elimina ningún registro. Aun así, el Pipeline incluye </w:t>
      </w:r>
      <w:proofErr w:type="spellStart"/>
      <w:r>
        <w:rPr>
          <w:rFonts w:ascii="Arial" w:eastAsia="Arial" w:hAnsi="Arial" w:cs="Arial"/>
          <w:sz w:val="24"/>
          <w:szCs w:val="24"/>
        </w:rPr>
        <w:t>SimpleImputer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(mediana p</w:t>
      </w:r>
      <w:r>
        <w:rPr>
          <w:rFonts w:ascii="Arial" w:eastAsia="Arial" w:hAnsi="Arial" w:cs="Arial"/>
          <w:sz w:val="24"/>
          <w:szCs w:val="24"/>
        </w:rPr>
        <w:t xml:space="preserve">ara numéricas y moda para categóricas) para que el flujo sea robusto si en el uso real llegan datos incompletos; al estar dentro del Pipeline, sus parámetros se aprenden solo con </w:t>
      </w:r>
      <w:proofErr w:type="spellStart"/>
      <w:r>
        <w:rPr>
          <w:rFonts w:ascii="Arial" w:eastAsia="Arial" w:hAnsi="Arial" w:cs="Arial"/>
          <w:sz w:val="24"/>
          <w:szCs w:val="24"/>
        </w:rPr>
        <w:t>train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771108B6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4.2 Duplicados</w:t>
      </w:r>
    </w:p>
    <w:p w14:paraId="63883429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>Se verificaron filas duplicadas sin considerar el ident</w:t>
      </w:r>
      <w:r>
        <w:rPr>
          <w:rFonts w:ascii="Arial" w:eastAsia="Arial" w:hAnsi="Arial" w:cs="Arial"/>
          <w:sz w:val="24"/>
          <w:szCs w:val="24"/>
        </w:rPr>
        <w:t xml:space="preserve">ificador (0 casos) y valores repetidos de </w:t>
      </w:r>
      <w:proofErr w:type="spellStart"/>
      <w:r>
        <w:rPr>
          <w:rFonts w:ascii="Arial" w:eastAsia="Arial" w:hAnsi="Arial" w:cs="Arial"/>
          <w:sz w:val="24"/>
          <w:szCs w:val="24"/>
        </w:rPr>
        <w:t>Patient_ID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(0 casos). </w:t>
      </w:r>
      <w:r>
        <w:rPr>
          <w:rFonts w:ascii="Arial" w:eastAsia="Arial" w:hAnsi="Arial" w:cs="Arial"/>
          <w:b/>
          <w:bCs/>
          <w:sz w:val="24"/>
          <w:szCs w:val="24"/>
        </w:rPr>
        <w:t>Decisión:</w:t>
      </w:r>
      <w:r>
        <w:rPr>
          <w:rFonts w:ascii="Arial" w:eastAsia="Arial" w:hAnsi="Arial" w:cs="Arial"/>
          <w:sz w:val="24"/>
          <w:szCs w:val="24"/>
        </w:rPr>
        <w:t xml:space="preserve"> no se elimina ningún registro; cada fila corresponde a un paciente distinto, lo que además permite una separación aleatoria sin riesgo de que un mismo paciente aparezca en </w:t>
      </w:r>
      <w:proofErr w:type="spellStart"/>
      <w:r>
        <w:rPr>
          <w:rFonts w:ascii="Arial" w:eastAsia="Arial" w:hAnsi="Arial" w:cs="Arial"/>
          <w:sz w:val="24"/>
          <w:szCs w:val="24"/>
        </w:rPr>
        <w:t>train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en</w:t>
      </w:r>
      <w:r>
        <w:rPr>
          <w:rFonts w:ascii="Arial" w:eastAsia="Arial" w:hAnsi="Arial" w:cs="Arial"/>
          <w:sz w:val="24"/>
          <w:szCs w:val="24"/>
        </w:rPr>
        <w:t xml:space="preserve"> test.</w:t>
      </w:r>
    </w:p>
    <w:p w14:paraId="7B460772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4.3 Tipos de datos</w:t>
      </w:r>
    </w:p>
    <w:p w14:paraId="48989899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 xml:space="preserve">Age es entera; </w:t>
      </w:r>
      <w:proofErr w:type="spellStart"/>
      <w:r>
        <w:rPr>
          <w:rFonts w:ascii="Arial" w:eastAsia="Arial" w:hAnsi="Arial" w:cs="Arial"/>
          <w:sz w:val="24"/>
          <w:szCs w:val="24"/>
        </w:rPr>
        <w:t>TSH_Level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T3_Level, T4_Level y </w:t>
      </w:r>
      <w:proofErr w:type="spellStart"/>
      <w:r>
        <w:rPr>
          <w:rFonts w:ascii="Arial" w:eastAsia="Arial" w:hAnsi="Arial" w:cs="Arial"/>
          <w:sz w:val="24"/>
          <w:szCs w:val="24"/>
        </w:rPr>
        <w:t>Nodule_Size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son decimales; </w:t>
      </w:r>
      <w:proofErr w:type="gramStart"/>
      <w:r>
        <w:rPr>
          <w:rFonts w:ascii="Arial" w:eastAsia="Arial" w:hAnsi="Arial" w:cs="Arial"/>
          <w:sz w:val="24"/>
          <w:szCs w:val="24"/>
        </w:rPr>
        <w:t>las 11 restantes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son texto (9 predictoras categóricas, </w:t>
      </w:r>
      <w:proofErr w:type="spellStart"/>
      <w:r>
        <w:rPr>
          <w:rFonts w:ascii="Arial" w:eastAsia="Arial" w:hAnsi="Arial" w:cs="Arial"/>
          <w:sz w:val="24"/>
          <w:szCs w:val="24"/>
        </w:rPr>
        <w:t>Thyroid_Cancer_Risk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Diagnosis). Todos los tipos son coherentes con su contenido. </w:t>
      </w:r>
      <w:r>
        <w:rPr>
          <w:rFonts w:ascii="Arial" w:eastAsia="Arial" w:hAnsi="Arial" w:cs="Arial"/>
          <w:b/>
          <w:bCs/>
          <w:sz w:val="24"/>
          <w:szCs w:val="24"/>
        </w:rPr>
        <w:t>Decisión:</w:t>
      </w:r>
      <w:r>
        <w:rPr>
          <w:rFonts w:ascii="Arial" w:eastAsia="Arial" w:hAnsi="Arial" w:cs="Arial"/>
          <w:sz w:val="24"/>
          <w:szCs w:val="24"/>
        </w:rPr>
        <w:t xml:space="preserve"> las numé</w:t>
      </w:r>
      <w:r>
        <w:rPr>
          <w:rFonts w:ascii="Arial" w:eastAsia="Arial" w:hAnsi="Arial" w:cs="Arial"/>
          <w:sz w:val="24"/>
          <w:szCs w:val="24"/>
        </w:rPr>
        <w:t xml:space="preserve">ricas se mantienen como tales y las categóricas se codifican con </w:t>
      </w:r>
      <w:proofErr w:type="spellStart"/>
      <w:r>
        <w:rPr>
          <w:rFonts w:ascii="Arial" w:eastAsia="Arial" w:hAnsi="Arial" w:cs="Arial"/>
          <w:sz w:val="24"/>
          <w:szCs w:val="24"/>
        </w:rPr>
        <w:t>One</w:t>
      </w:r>
      <w:proofErr w:type="spellEnd"/>
      <w:r>
        <w:rPr>
          <w:rFonts w:ascii="Arial" w:eastAsia="Arial" w:hAnsi="Arial" w:cs="Arial"/>
          <w:sz w:val="24"/>
          <w:szCs w:val="24"/>
        </w:rPr>
        <w:t>-Hot dentro del Pipeline; Diagnosis se convierte a 0/1 (</w:t>
      </w:r>
      <w:proofErr w:type="spellStart"/>
      <w:r>
        <w:rPr>
          <w:rFonts w:ascii="Arial" w:eastAsia="Arial" w:hAnsi="Arial" w:cs="Arial"/>
          <w:sz w:val="24"/>
          <w:szCs w:val="24"/>
        </w:rPr>
        <w:t>Malignant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= 1).</w:t>
      </w:r>
    </w:p>
    <w:p w14:paraId="21230CE9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4.4 Categorías inconsistentes</w:t>
      </w:r>
    </w:p>
    <w:p w14:paraId="58B30CA0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>Se revisaron los valores únicos de cada variable categórica y se comprobó que no exist</w:t>
      </w:r>
      <w:r>
        <w:rPr>
          <w:rFonts w:ascii="Arial" w:eastAsia="Arial" w:hAnsi="Arial" w:cs="Arial"/>
          <w:sz w:val="24"/>
          <w:szCs w:val="24"/>
        </w:rPr>
        <w:t xml:space="preserve">en variantes por mayúsculas, espacios o errores de escritura (al normalizar el texto, ninguna categoría colapsa con otra). </w:t>
      </w:r>
      <w:r>
        <w:rPr>
          <w:rFonts w:ascii="Arial" w:eastAsia="Arial" w:hAnsi="Arial" w:cs="Arial"/>
          <w:b/>
          <w:bCs/>
          <w:sz w:val="24"/>
          <w:szCs w:val="24"/>
        </w:rPr>
        <w:t>Decisión:</w:t>
      </w:r>
      <w:r>
        <w:rPr>
          <w:rFonts w:ascii="Arial" w:eastAsia="Arial" w:hAnsi="Arial" w:cs="Arial"/>
          <w:sz w:val="24"/>
          <w:szCs w:val="24"/>
        </w:rPr>
        <w:t xml:space="preserve"> únicamente se eliminan espacios sobrantes como medida preventiva; no se cambian mayúsculas para no alterar valores como UK </w:t>
      </w:r>
      <w:r>
        <w:rPr>
          <w:rFonts w:ascii="Arial" w:eastAsia="Arial" w:hAnsi="Arial" w:cs="Arial"/>
          <w:sz w:val="24"/>
          <w:szCs w:val="24"/>
        </w:rPr>
        <w:t>o USA.</w:t>
      </w:r>
    </w:p>
    <w:p w14:paraId="67F848FD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 xml:space="preserve">4.5 </w:t>
      </w:r>
      <w:proofErr w:type="spellStart"/>
      <w:r>
        <w:rPr>
          <w:b/>
          <w:bCs/>
          <w:sz w:val="32"/>
          <w:szCs w:val="32"/>
        </w:rPr>
        <w:t>Outliers</w:t>
      </w:r>
      <w:proofErr w:type="spellEnd"/>
      <w:r>
        <w:rPr>
          <w:b/>
          <w:bCs/>
          <w:sz w:val="32"/>
          <w:szCs w:val="32"/>
        </w:rPr>
        <w:t xml:space="preserve"> o valores extremos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60"/>
        <w:gridCol w:w="1860"/>
        <w:gridCol w:w="1860"/>
        <w:gridCol w:w="1860"/>
        <w:gridCol w:w="1860"/>
      </w:tblGrid>
      <w:tr w:rsidR="00A21BF2" w14:paraId="4E6E1AF4" w14:textId="77777777">
        <w:trPr>
          <w:cantSplit/>
          <w:tblHeader/>
          <w:jc w:val="center"/>
        </w:trPr>
        <w:tc>
          <w:tcPr>
            <w:tcW w:w="1860" w:type="dxa"/>
            <w:shd w:val="clear" w:color="auto" w:fill="1F3864"/>
          </w:tcPr>
          <w:p w14:paraId="3B14FD3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Variable</w:t>
            </w:r>
          </w:p>
        </w:tc>
        <w:tc>
          <w:tcPr>
            <w:tcW w:w="1860" w:type="dxa"/>
            <w:shd w:val="clear" w:color="auto" w:fill="1F3864"/>
          </w:tcPr>
          <w:p w14:paraId="2F42B84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Mínimo</w:t>
            </w:r>
          </w:p>
        </w:tc>
        <w:tc>
          <w:tcPr>
            <w:tcW w:w="1860" w:type="dxa"/>
            <w:shd w:val="clear" w:color="auto" w:fill="1F3864"/>
          </w:tcPr>
          <w:p w14:paraId="2DA4C72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Máximo</w:t>
            </w:r>
          </w:p>
        </w:tc>
        <w:tc>
          <w:tcPr>
            <w:tcW w:w="1860" w:type="dxa"/>
            <w:shd w:val="clear" w:color="auto" w:fill="1F3864"/>
          </w:tcPr>
          <w:p w14:paraId="2578D599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Outliers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(IQR)</w:t>
            </w:r>
          </w:p>
        </w:tc>
        <w:tc>
          <w:tcPr>
            <w:tcW w:w="1860" w:type="dxa"/>
            <w:shd w:val="clear" w:color="auto" w:fill="1F3864"/>
          </w:tcPr>
          <w:p w14:paraId="27A70B6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Fuera de rango válido</w:t>
            </w:r>
          </w:p>
        </w:tc>
      </w:tr>
      <w:tr w:rsidR="00A21BF2" w14:paraId="3CB9B93A" w14:textId="77777777">
        <w:trPr>
          <w:cantSplit/>
          <w:jc w:val="center"/>
        </w:trPr>
        <w:tc>
          <w:tcPr>
            <w:tcW w:w="1860" w:type="dxa"/>
          </w:tcPr>
          <w:p w14:paraId="710CF1F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Age</w:t>
            </w:r>
          </w:p>
        </w:tc>
        <w:tc>
          <w:tcPr>
            <w:tcW w:w="1860" w:type="dxa"/>
          </w:tcPr>
          <w:p w14:paraId="18AC273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15</w:t>
            </w:r>
          </w:p>
        </w:tc>
        <w:tc>
          <w:tcPr>
            <w:tcW w:w="1860" w:type="dxa"/>
          </w:tcPr>
          <w:p w14:paraId="1F6A2F2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89</w:t>
            </w:r>
          </w:p>
        </w:tc>
        <w:tc>
          <w:tcPr>
            <w:tcW w:w="1860" w:type="dxa"/>
          </w:tcPr>
          <w:p w14:paraId="479F6C1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</w:t>
            </w:r>
          </w:p>
        </w:tc>
        <w:tc>
          <w:tcPr>
            <w:tcW w:w="1860" w:type="dxa"/>
          </w:tcPr>
          <w:p w14:paraId="4A01A8E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</w:t>
            </w:r>
          </w:p>
        </w:tc>
      </w:tr>
      <w:tr w:rsidR="00A21BF2" w14:paraId="7AFA428C" w14:textId="77777777">
        <w:trPr>
          <w:cantSplit/>
          <w:jc w:val="center"/>
        </w:trPr>
        <w:tc>
          <w:tcPr>
            <w:tcW w:w="1860" w:type="dxa"/>
          </w:tcPr>
          <w:p w14:paraId="3C03C3F5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TSH_Level</w:t>
            </w:r>
            <w:proofErr w:type="spellEnd"/>
          </w:p>
        </w:tc>
        <w:tc>
          <w:tcPr>
            <w:tcW w:w="1860" w:type="dxa"/>
          </w:tcPr>
          <w:p w14:paraId="7781585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0.1</w:t>
            </w:r>
          </w:p>
        </w:tc>
        <w:tc>
          <w:tcPr>
            <w:tcW w:w="1860" w:type="dxa"/>
          </w:tcPr>
          <w:p w14:paraId="382695E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10.0</w:t>
            </w:r>
          </w:p>
        </w:tc>
        <w:tc>
          <w:tcPr>
            <w:tcW w:w="1860" w:type="dxa"/>
          </w:tcPr>
          <w:p w14:paraId="3B51EE2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</w:t>
            </w:r>
          </w:p>
        </w:tc>
        <w:tc>
          <w:tcPr>
            <w:tcW w:w="1860" w:type="dxa"/>
          </w:tcPr>
          <w:p w14:paraId="512B08B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</w:t>
            </w:r>
          </w:p>
        </w:tc>
      </w:tr>
      <w:tr w:rsidR="00A21BF2" w14:paraId="2FAD2829" w14:textId="77777777">
        <w:trPr>
          <w:cantSplit/>
          <w:jc w:val="center"/>
        </w:trPr>
        <w:tc>
          <w:tcPr>
            <w:tcW w:w="1860" w:type="dxa"/>
          </w:tcPr>
          <w:p w14:paraId="6DD7EE8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T3_Level</w:t>
            </w:r>
          </w:p>
        </w:tc>
        <w:tc>
          <w:tcPr>
            <w:tcW w:w="1860" w:type="dxa"/>
          </w:tcPr>
          <w:p w14:paraId="0FE723B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0.5</w:t>
            </w:r>
          </w:p>
        </w:tc>
        <w:tc>
          <w:tcPr>
            <w:tcW w:w="1860" w:type="dxa"/>
          </w:tcPr>
          <w:p w14:paraId="3152CA0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3.5</w:t>
            </w:r>
          </w:p>
        </w:tc>
        <w:tc>
          <w:tcPr>
            <w:tcW w:w="1860" w:type="dxa"/>
          </w:tcPr>
          <w:p w14:paraId="501D232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</w:t>
            </w:r>
          </w:p>
        </w:tc>
        <w:tc>
          <w:tcPr>
            <w:tcW w:w="1860" w:type="dxa"/>
          </w:tcPr>
          <w:p w14:paraId="08DA098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</w:t>
            </w:r>
          </w:p>
        </w:tc>
      </w:tr>
      <w:tr w:rsidR="00A21BF2" w14:paraId="413FD889" w14:textId="77777777">
        <w:trPr>
          <w:cantSplit/>
          <w:jc w:val="center"/>
        </w:trPr>
        <w:tc>
          <w:tcPr>
            <w:tcW w:w="1860" w:type="dxa"/>
          </w:tcPr>
          <w:p w14:paraId="20EA80B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T4_Level</w:t>
            </w:r>
          </w:p>
        </w:tc>
        <w:tc>
          <w:tcPr>
            <w:tcW w:w="1860" w:type="dxa"/>
          </w:tcPr>
          <w:p w14:paraId="5F59B65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4.5</w:t>
            </w:r>
          </w:p>
        </w:tc>
        <w:tc>
          <w:tcPr>
            <w:tcW w:w="1860" w:type="dxa"/>
          </w:tcPr>
          <w:p w14:paraId="0FB40B3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12.0</w:t>
            </w:r>
          </w:p>
        </w:tc>
        <w:tc>
          <w:tcPr>
            <w:tcW w:w="1860" w:type="dxa"/>
          </w:tcPr>
          <w:p w14:paraId="091FAD0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</w:t>
            </w:r>
          </w:p>
        </w:tc>
        <w:tc>
          <w:tcPr>
            <w:tcW w:w="1860" w:type="dxa"/>
          </w:tcPr>
          <w:p w14:paraId="1F3EA4A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</w:t>
            </w:r>
          </w:p>
        </w:tc>
      </w:tr>
      <w:tr w:rsidR="00A21BF2" w14:paraId="00B58C93" w14:textId="77777777">
        <w:trPr>
          <w:cantSplit/>
          <w:jc w:val="center"/>
        </w:trPr>
        <w:tc>
          <w:tcPr>
            <w:tcW w:w="1860" w:type="dxa"/>
          </w:tcPr>
          <w:p w14:paraId="4962E440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Nodule_Size</w:t>
            </w:r>
            <w:proofErr w:type="spellEnd"/>
          </w:p>
        </w:tc>
        <w:tc>
          <w:tcPr>
            <w:tcW w:w="1860" w:type="dxa"/>
          </w:tcPr>
          <w:p w14:paraId="71DB34F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0.0</w:t>
            </w:r>
          </w:p>
        </w:tc>
        <w:tc>
          <w:tcPr>
            <w:tcW w:w="1860" w:type="dxa"/>
          </w:tcPr>
          <w:p w14:paraId="018C50D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5.0</w:t>
            </w:r>
          </w:p>
        </w:tc>
        <w:tc>
          <w:tcPr>
            <w:tcW w:w="1860" w:type="dxa"/>
          </w:tcPr>
          <w:p w14:paraId="7F05D88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</w:t>
            </w:r>
          </w:p>
        </w:tc>
        <w:tc>
          <w:tcPr>
            <w:tcW w:w="1860" w:type="dxa"/>
          </w:tcPr>
          <w:p w14:paraId="1E50115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</w:t>
            </w:r>
          </w:p>
        </w:tc>
      </w:tr>
    </w:tbl>
    <w:p w14:paraId="4FDE9AB3" w14:textId="77777777" w:rsidR="00A21BF2" w:rsidRDefault="00A21BF2">
      <w:pPr>
        <w:spacing w:after="60"/>
        <w:jc w:val="both"/>
      </w:pPr>
    </w:p>
    <w:p w14:paraId="29E1A0D1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 xml:space="preserve">Al tener distribuciones uniformes con límites definidos, la regla del rango intercuartílico no detecta valores atípicos y todos los valores caen en rangos válidos. </w:t>
      </w:r>
      <w:r>
        <w:rPr>
          <w:rFonts w:ascii="Arial" w:eastAsia="Arial" w:hAnsi="Arial" w:cs="Arial"/>
          <w:b/>
          <w:bCs/>
          <w:sz w:val="24"/>
          <w:szCs w:val="24"/>
        </w:rPr>
        <w:t>Decisión:</w:t>
      </w:r>
      <w:r>
        <w:rPr>
          <w:rFonts w:ascii="Arial" w:eastAsia="Arial" w:hAnsi="Arial" w:cs="Arial"/>
          <w:sz w:val="24"/>
          <w:szCs w:val="24"/>
        </w:rPr>
        <w:t xml:space="preserve"> no se eliminan ni recortan valores, porque son plausibles y eliminarlos solo reduc</w:t>
      </w:r>
      <w:r>
        <w:rPr>
          <w:rFonts w:ascii="Arial" w:eastAsia="Arial" w:hAnsi="Arial" w:cs="Arial"/>
          <w:sz w:val="24"/>
          <w:szCs w:val="24"/>
        </w:rPr>
        <w:t>iría información sin justificación.</w:t>
      </w:r>
    </w:p>
    <w:p w14:paraId="4FE3446C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4.6 Reglas lógicas o de negocio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6565"/>
        <w:gridCol w:w="1641"/>
        <w:gridCol w:w="1094"/>
      </w:tblGrid>
      <w:tr w:rsidR="00A21BF2" w14:paraId="7D4E938D" w14:textId="77777777">
        <w:trPr>
          <w:cantSplit/>
          <w:tblHeader/>
          <w:jc w:val="center"/>
        </w:trPr>
        <w:tc>
          <w:tcPr>
            <w:tcW w:w="6565" w:type="dxa"/>
            <w:shd w:val="clear" w:color="auto" w:fill="1F3864"/>
          </w:tcPr>
          <w:p w14:paraId="5CC4BC8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Regla verificada</w:t>
            </w:r>
          </w:p>
        </w:tc>
        <w:tc>
          <w:tcPr>
            <w:tcW w:w="1641" w:type="dxa"/>
            <w:shd w:val="clear" w:color="auto" w:fill="1F3864"/>
          </w:tcPr>
          <w:p w14:paraId="0282347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Registros</w:t>
            </w:r>
          </w:p>
        </w:tc>
        <w:tc>
          <w:tcPr>
            <w:tcW w:w="1094" w:type="dxa"/>
            <w:shd w:val="clear" w:color="auto" w:fill="1F3864"/>
          </w:tcPr>
          <w:p w14:paraId="5824228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A21BF2" w14:paraId="16496AA5" w14:textId="77777777">
        <w:trPr>
          <w:cantSplit/>
          <w:jc w:val="center"/>
        </w:trPr>
        <w:tc>
          <w:tcPr>
            <w:tcW w:w="6565" w:type="dxa"/>
          </w:tcPr>
          <w:p w14:paraId="4A7F83A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TSH fuera del rango de referencia (0.4–4.5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mIU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/L)</w:t>
            </w:r>
          </w:p>
        </w:tc>
        <w:tc>
          <w:tcPr>
            <w:tcW w:w="1641" w:type="dxa"/>
          </w:tcPr>
          <w:p w14:paraId="18E997A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124 472</w:t>
            </w:r>
          </w:p>
        </w:tc>
        <w:tc>
          <w:tcPr>
            <w:tcW w:w="1094" w:type="dxa"/>
          </w:tcPr>
          <w:p w14:paraId="546A8A5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58.5 %</w:t>
            </w:r>
          </w:p>
        </w:tc>
      </w:tr>
      <w:tr w:rsidR="00A21BF2" w14:paraId="3429866D" w14:textId="77777777">
        <w:trPr>
          <w:cantSplit/>
          <w:jc w:val="center"/>
        </w:trPr>
        <w:tc>
          <w:tcPr>
            <w:tcW w:w="6565" w:type="dxa"/>
          </w:tcPr>
          <w:p w14:paraId="198D034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TSH alta (&gt; 4.5) y T4 alta (&gt; 11) simultáneamente</w:t>
            </w:r>
          </w:p>
        </w:tc>
        <w:tc>
          <w:tcPr>
            <w:tcW w:w="1641" w:type="dxa"/>
          </w:tcPr>
          <w:p w14:paraId="51C36B4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15 609</w:t>
            </w:r>
          </w:p>
        </w:tc>
        <w:tc>
          <w:tcPr>
            <w:tcW w:w="1094" w:type="dxa"/>
          </w:tcPr>
          <w:p w14:paraId="50F723E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7.3 %</w:t>
            </w:r>
          </w:p>
        </w:tc>
      </w:tr>
      <w:tr w:rsidR="00A21BF2" w14:paraId="7C1BD6CD" w14:textId="77777777">
        <w:trPr>
          <w:cantSplit/>
          <w:jc w:val="center"/>
        </w:trPr>
        <w:tc>
          <w:tcPr>
            <w:tcW w:w="6565" w:type="dxa"/>
          </w:tcPr>
          <w:p w14:paraId="3816C2D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Edad menor de 18 años</w:t>
            </w:r>
          </w:p>
        </w:tc>
        <w:tc>
          <w:tcPr>
            <w:tcW w:w="1641" w:type="dxa"/>
          </w:tcPr>
          <w:p w14:paraId="5C3D714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8 571</w:t>
            </w:r>
          </w:p>
        </w:tc>
        <w:tc>
          <w:tcPr>
            <w:tcW w:w="1094" w:type="dxa"/>
          </w:tcPr>
          <w:p w14:paraId="3C2F42A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4.0 %</w:t>
            </w:r>
          </w:p>
        </w:tc>
      </w:tr>
      <w:tr w:rsidR="00A21BF2" w14:paraId="13691BE5" w14:textId="77777777">
        <w:trPr>
          <w:cantSplit/>
          <w:jc w:val="center"/>
        </w:trPr>
        <w:tc>
          <w:tcPr>
            <w:tcW w:w="6565" w:type="dxa"/>
          </w:tcPr>
          <w:p w14:paraId="530C7F24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Nodule_Size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= 0 (sin nódulo medible)</w:t>
            </w:r>
          </w:p>
        </w:tc>
        <w:tc>
          <w:tcPr>
            <w:tcW w:w="1641" w:type="dxa"/>
          </w:tcPr>
          <w:p w14:paraId="21766DE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196</w:t>
            </w:r>
          </w:p>
        </w:tc>
        <w:tc>
          <w:tcPr>
            <w:tcW w:w="1094" w:type="dxa"/>
          </w:tcPr>
          <w:p w14:paraId="5763315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0.1 %</w:t>
            </w:r>
          </w:p>
        </w:tc>
      </w:tr>
    </w:tbl>
    <w:p w14:paraId="425FDDA2" w14:textId="77777777" w:rsidR="00A21BF2" w:rsidRDefault="00A21BF2">
      <w:pPr>
        <w:spacing w:after="60"/>
        <w:jc w:val="both"/>
      </w:pPr>
    </w:p>
    <w:p w14:paraId="72C66797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 xml:space="preserve">Más de la mitad de los pacientes tiene TSH fuera del rango de referencia y un 7.3 % presenta TSH y T4 altas a la vez, combinación fisiológicamente poco habitual. </w:t>
      </w:r>
      <w:r>
        <w:rPr>
          <w:rFonts w:ascii="Arial" w:eastAsia="Arial" w:hAnsi="Arial" w:cs="Arial"/>
          <w:b/>
          <w:bCs/>
          <w:sz w:val="24"/>
          <w:szCs w:val="24"/>
        </w:rPr>
        <w:t>Decisión:</w:t>
      </w:r>
      <w:r>
        <w:rPr>
          <w:rFonts w:ascii="Arial" w:eastAsia="Arial" w:hAnsi="Arial" w:cs="Arial"/>
          <w:sz w:val="24"/>
          <w:szCs w:val="24"/>
        </w:rPr>
        <w:t xml:space="preserve"> se documentan como riesgo para la validez del análisis, pero no se corrigen ni elimi</w:t>
      </w:r>
      <w:r>
        <w:rPr>
          <w:rFonts w:ascii="Arial" w:eastAsia="Arial" w:hAnsi="Arial" w:cs="Arial"/>
          <w:sz w:val="24"/>
          <w:szCs w:val="24"/>
        </w:rPr>
        <w:t>nan, porque el grupo no cuenta con criterio clínico ni con información sobre las unidades de laboratorio para afirmar que son errores. Los menores de edad y los nódulos de tamaño 0 se conservan por ser casos posibles.</w:t>
      </w:r>
    </w:p>
    <w:p w14:paraId="40810098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4.7 Transformaciones realizadas</w:t>
      </w:r>
    </w:p>
    <w:p w14:paraId="3000A10F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Exclusión de variables:</w:t>
      </w:r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Patient_ID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(identificador sin información) y </w:t>
      </w:r>
      <w:proofErr w:type="spellStart"/>
      <w:r>
        <w:rPr>
          <w:rFonts w:ascii="Arial" w:eastAsia="Arial" w:hAnsi="Arial" w:cs="Arial"/>
          <w:sz w:val="24"/>
          <w:szCs w:val="24"/>
        </w:rPr>
        <w:t>Thyroid_Cancer_Risk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(puntaje con posible fuga de información, sección 3.5).</w:t>
      </w:r>
    </w:p>
    <w:p w14:paraId="232F8E20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Limpieza determinista</w:t>
      </w:r>
      <w:r>
        <w:rPr>
          <w:rFonts w:ascii="Arial" w:eastAsia="Arial" w:hAnsi="Arial" w:cs="Arial"/>
          <w:sz w:val="24"/>
          <w:szCs w:val="24"/>
        </w:rPr>
        <w:t xml:space="preserve"> (antes del </w:t>
      </w:r>
      <w:proofErr w:type="spellStart"/>
      <w:r>
        <w:rPr>
          <w:rFonts w:ascii="Arial" w:eastAsia="Arial" w:hAnsi="Arial" w:cs="Arial"/>
          <w:sz w:val="24"/>
          <w:szCs w:val="24"/>
        </w:rPr>
        <w:t>split</w:t>
      </w:r>
      <w:proofErr w:type="spellEnd"/>
      <w:r>
        <w:rPr>
          <w:rFonts w:ascii="Arial" w:eastAsia="Arial" w:hAnsi="Arial" w:cs="Arial"/>
          <w:sz w:val="24"/>
          <w:szCs w:val="24"/>
        </w:rPr>
        <w:t>, sin parámetros aprendidos): eliminación de espacios, verificación de</w:t>
      </w:r>
      <w:r>
        <w:rPr>
          <w:rFonts w:ascii="Arial" w:eastAsia="Arial" w:hAnsi="Arial" w:cs="Arial"/>
          <w:sz w:val="24"/>
          <w:szCs w:val="24"/>
        </w:rPr>
        <w:t xml:space="preserve"> duplicados y de rangos válidos. Al no aprender nada de los datos, no genera fuga.</w:t>
      </w:r>
    </w:p>
    <w:p w14:paraId="726C14A6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Variables numéricas:</w:t>
      </w:r>
      <w:r>
        <w:rPr>
          <w:rFonts w:ascii="Arial" w:eastAsia="Arial" w:hAnsi="Arial" w:cs="Arial"/>
          <w:sz w:val="24"/>
          <w:szCs w:val="24"/>
        </w:rPr>
        <w:t xml:space="preserve"> imputación por mediana y estandarización (</w:t>
      </w:r>
      <w:proofErr w:type="spellStart"/>
      <w:r>
        <w:rPr>
          <w:rFonts w:ascii="Arial" w:eastAsia="Arial" w:hAnsi="Arial" w:cs="Arial"/>
          <w:sz w:val="24"/>
          <w:szCs w:val="24"/>
        </w:rPr>
        <w:t>StandardScaler</w:t>
      </w:r>
      <w:proofErr w:type="spellEnd"/>
      <w:r>
        <w:rPr>
          <w:rFonts w:ascii="Arial" w:eastAsia="Arial" w:hAnsi="Arial" w:cs="Arial"/>
          <w:sz w:val="24"/>
          <w:szCs w:val="24"/>
        </w:rPr>
        <w:t>) solo para la Regresión Logística, que es sensible a la escala. Los modelos de árboles recib</w:t>
      </w:r>
      <w:r>
        <w:rPr>
          <w:rFonts w:ascii="Arial" w:eastAsia="Arial" w:hAnsi="Arial" w:cs="Arial"/>
          <w:sz w:val="24"/>
          <w:szCs w:val="24"/>
        </w:rPr>
        <w:t>en las numéricas sin escalar.</w:t>
      </w:r>
    </w:p>
    <w:p w14:paraId="376118E5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Variables categóricas:</w:t>
      </w:r>
      <w:r>
        <w:rPr>
          <w:rFonts w:ascii="Arial" w:eastAsia="Arial" w:hAnsi="Arial" w:cs="Arial"/>
          <w:sz w:val="24"/>
          <w:szCs w:val="24"/>
        </w:rPr>
        <w:t xml:space="preserve"> imputación por moda y </w:t>
      </w:r>
      <w:proofErr w:type="spellStart"/>
      <w:r>
        <w:rPr>
          <w:rFonts w:ascii="Arial" w:eastAsia="Arial" w:hAnsi="Arial" w:cs="Arial"/>
          <w:sz w:val="24"/>
          <w:szCs w:val="24"/>
        </w:rPr>
        <w:t>One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-Hot </w:t>
      </w:r>
      <w:proofErr w:type="spellStart"/>
      <w:r>
        <w:rPr>
          <w:rFonts w:ascii="Arial" w:eastAsia="Arial" w:hAnsi="Arial" w:cs="Arial"/>
          <w:sz w:val="24"/>
          <w:szCs w:val="24"/>
        </w:rPr>
        <w:t>Encoding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con </w:t>
      </w:r>
      <w:proofErr w:type="spellStart"/>
      <w:r>
        <w:rPr>
          <w:rFonts w:ascii="Arial" w:eastAsia="Arial" w:hAnsi="Arial" w:cs="Arial"/>
          <w:sz w:val="24"/>
          <w:szCs w:val="24"/>
        </w:rPr>
        <w:t>drop</w:t>
      </w:r>
      <w:proofErr w:type="spellEnd"/>
      <w:r>
        <w:rPr>
          <w:rFonts w:ascii="Arial" w:eastAsia="Arial" w:hAnsi="Arial" w:cs="Arial"/>
          <w:sz w:val="24"/>
          <w:szCs w:val="24"/>
        </w:rPr>
        <w:t>='</w:t>
      </w:r>
      <w:proofErr w:type="spellStart"/>
      <w:r>
        <w:rPr>
          <w:rFonts w:ascii="Arial" w:eastAsia="Arial" w:hAnsi="Arial" w:cs="Arial"/>
          <w:sz w:val="24"/>
          <w:szCs w:val="24"/>
        </w:rPr>
        <w:t>if_binary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' (las binarias generan una sola columna) y </w:t>
      </w:r>
      <w:proofErr w:type="spellStart"/>
      <w:r>
        <w:rPr>
          <w:rFonts w:ascii="Arial" w:eastAsia="Arial" w:hAnsi="Arial" w:cs="Arial"/>
          <w:sz w:val="24"/>
          <w:szCs w:val="24"/>
        </w:rPr>
        <w:t>handle_unknown</w:t>
      </w:r>
      <w:proofErr w:type="spellEnd"/>
      <w:r>
        <w:rPr>
          <w:rFonts w:ascii="Arial" w:eastAsia="Arial" w:hAnsi="Arial" w:cs="Arial"/>
          <w:sz w:val="24"/>
          <w:szCs w:val="24"/>
        </w:rPr>
        <w:t>='ignore' (robustez ante categorías nuevas). Resultado: 27 variables transformadas.</w:t>
      </w:r>
    </w:p>
    <w:p w14:paraId="2304D4F2" w14:textId="77777777" w:rsidR="00A21BF2" w:rsidRDefault="00FB2279">
      <w:pPr>
        <w:spacing w:before="240" w:after="240"/>
      </w:pPr>
      <w:r>
        <w:br w:type="page"/>
      </w:r>
      <w:r>
        <w:rPr>
          <w:b/>
          <w:bCs/>
          <w:sz w:val="36"/>
          <w:szCs w:val="36"/>
        </w:rPr>
        <w:lastRenderedPageBreak/>
        <w:t>5. Separación de Datos</w:t>
      </w:r>
    </w:p>
    <w:p w14:paraId="0B6A13E5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5.1 Estrategia de separación</w:t>
      </w:r>
    </w:p>
    <w:p w14:paraId="7F89F2B5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 xml:space="preserve">Se aplicó un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hold-out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estratificado en tres partes</w:t>
      </w:r>
      <w:r>
        <w:rPr>
          <w:rFonts w:ascii="Arial" w:eastAsia="Arial" w:hAnsi="Arial" w:cs="Arial"/>
          <w:sz w:val="24"/>
          <w:szCs w:val="24"/>
        </w:rPr>
        <w:t xml:space="preserve"> (</w:t>
      </w:r>
      <w:proofErr w:type="spellStart"/>
      <w:r>
        <w:rPr>
          <w:rFonts w:ascii="Arial" w:eastAsia="Arial" w:hAnsi="Arial" w:cs="Arial"/>
          <w:sz w:val="24"/>
          <w:szCs w:val="24"/>
        </w:rPr>
        <w:t>train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/ </w:t>
      </w:r>
      <w:proofErr w:type="spellStart"/>
      <w:r>
        <w:rPr>
          <w:rFonts w:ascii="Arial" w:eastAsia="Arial" w:hAnsi="Arial" w:cs="Arial"/>
          <w:sz w:val="24"/>
          <w:szCs w:val="24"/>
        </w:rPr>
        <w:t>validation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/ test) con semilla fija (</w:t>
      </w:r>
      <w:proofErr w:type="spellStart"/>
      <w:r>
        <w:rPr>
          <w:rFonts w:ascii="Arial" w:eastAsia="Arial" w:hAnsi="Arial" w:cs="Arial"/>
          <w:sz w:val="24"/>
          <w:szCs w:val="24"/>
        </w:rPr>
        <w:t>random_state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= 42), complementado con 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validación cruzada estratificada de 5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folds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sobre el conjunto de ent</w:t>
      </w:r>
      <w:r>
        <w:rPr>
          <w:rFonts w:ascii="Arial" w:eastAsia="Arial" w:hAnsi="Arial" w:cs="Arial"/>
          <w:sz w:val="24"/>
          <w:szCs w:val="24"/>
        </w:rPr>
        <w:t>renamiento para medir la estabilidad de los modelos.</w:t>
      </w:r>
    </w:p>
    <w:p w14:paraId="6A3104A2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5.2 Proporciones utilizadas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357"/>
        <w:gridCol w:w="1259"/>
        <w:gridCol w:w="1162"/>
        <w:gridCol w:w="1259"/>
        <w:gridCol w:w="4263"/>
      </w:tblGrid>
      <w:tr w:rsidR="00A21BF2" w14:paraId="2EDA265A" w14:textId="77777777">
        <w:trPr>
          <w:cantSplit/>
          <w:tblHeader/>
          <w:jc w:val="center"/>
        </w:trPr>
        <w:tc>
          <w:tcPr>
            <w:tcW w:w="1356" w:type="dxa"/>
            <w:shd w:val="clear" w:color="auto" w:fill="1F3864"/>
          </w:tcPr>
          <w:p w14:paraId="758BB6D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Conjunto</w:t>
            </w:r>
          </w:p>
        </w:tc>
        <w:tc>
          <w:tcPr>
            <w:tcW w:w="1259" w:type="dxa"/>
            <w:shd w:val="clear" w:color="auto" w:fill="1F3864"/>
          </w:tcPr>
          <w:p w14:paraId="0BF2E10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Registros</w:t>
            </w:r>
          </w:p>
        </w:tc>
        <w:tc>
          <w:tcPr>
            <w:tcW w:w="1162" w:type="dxa"/>
            <w:shd w:val="clear" w:color="auto" w:fill="1F3864"/>
          </w:tcPr>
          <w:p w14:paraId="7FAE972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% del total</w:t>
            </w:r>
          </w:p>
        </w:tc>
        <w:tc>
          <w:tcPr>
            <w:tcW w:w="1259" w:type="dxa"/>
            <w:shd w:val="clear" w:color="auto" w:fill="1F3864"/>
          </w:tcPr>
          <w:p w14:paraId="67E9074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%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Malignant</w:t>
            </w:r>
            <w:proofErr w:type="spellEnd"/>
          </w:p>
        </w:tc>
        <w:tc>
          <w:tcPr>
            <w:tcW w:w="4262" w:type="dxa"/>
            <w:shd w:val="clear" w:color="auto" w:fill="1F3864"/>
          </w:tcPr>
          <w:p w14:paraId="71C85E6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Uso</w:t>
            </w:r>
          </w:p>
        </w:tc>
      </w:tr>
      <w:tr w:rsidR="00A21BF2" w14:paraId="2036B1A7" w14:textId="77777777">
        <w:trPr>
          <w:cantSplit/>
          <w:jc w:val="center"/>
        </w:trPr>
        <w:tc>
          <w:tcPr>
            <w:tcW w:w="1356" w:type="dxa"/>
          </w:tcPr>
          <w:p w14:paraId="01FE26A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Train</w:t>
            </w:r>
          </w:p>
        </w:tc>
        <w:tc>
          <w:tcPr>
            <w:tcW w:w="1259" w:type="dxa"/>
          </w:tcPr>
          <w:p w14:paraId="0E1CE9D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148 883</w:t>
            </w:r>
          </w:p>
        </w:tc>
        <w:tc>
          <w:tcPr>
            <w:tcW w:w="1162" w:type="dxa"/>
          </w:tcPr>
          <w:p w14:paraId="0642F66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70 %</w:t>
            </w:r>
          </w:p>
        </w:tc>
        <w:tc>
          <w:tcPr>
            <w:tcW w:w="1259" w:type="dxa"/>
          </w:tcPr>
          <w:p w14:paraId="51F2D6F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23.27 %</w:t>
            </w:r>
          </w:p>
        </w:tc>
        <w:tc>
          <w:tcPr>
            <w:tcW w:w="4262" w:type="dxa"/>
          </w:tcPr>
          <w:p w14:paraId="6C2D482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Ajuste de transformaciones y modelos; CV de 5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folds</w:t>
            </w:r>
            <w:proofErr w:type="spellEnd"/>
          </w:p>
        </w:tc>
      </w:tr>
      <w:tr w:rsidR="00A21BF2" w14:paraId="68EF71DF" w14:textId="77777777">
        <w:trPr>
          <w:cantSplit/>
          <w:jc w:val="center"/>
        </w:trPr>
        <w:tc>
          <w:tcPr>
            <w:tcW w:w="1356" w:type="dxa"/>
          </w:tcPr>
          <w:p w14:paraId="6D4A1C45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Validation</w:t>
            </w:r>
            <w:proofErr w:type="spellEnd"/>
          </w:p>
        </w:tc>
        <w:tc>
          <w:tcPr>
            <w:tcW w:w="1259" w:type="dxa"/>
          </w:tcPr>
          <w:p w14:paraId="4F2B83A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31 904</w:t>
            </w:r>
          </w:p>
        </w:tc>
        <w:tc>
          <w:tcPr>
            <w:tcW w:w="1162" w:type="dxa"/>
          </w:tcPr>
          <w:p w14:paraId="53661F1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15 %</w:t>
            </w:r>
          </w:p>
        </w:tc>
        <w:tc>
          <w:tcPr>
            <w:tcW w:w="1259" w:type="dxa"/>
          </w:tcPr>
          <w:p w14:paraId="0FC3A08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23.27 %</w:t>
            </w:r>
          </w:p>
        </w:tc>
        <w:tc>
          <w:tcPr>
            <w:tcW w:w="4262" w:type="dxa"/>
          </w:tcPr>
          <w:p w14:paraId="5EF144F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Comparación y selección de modelos (TP1)</w:t>
            </w:r>
          </w:p>
        </w:tc>
      </w:tr>
      <w:tr w:rsidR="00A21BF2" w14:paraId="2B0F5E2B" w14:textId="77777777">
        <w:trPr>
          <w:cantSplit/>
          <w:jc w:val="center"/>
        </w:trPr>
        <w:tc>
          <w:tcPr>
            <w:tcW w:w="1356" w:type="dxa"/>
          </w:tcPr>
          <w:p w14:paraId="44F0766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Test</w:t>
            </w:r>
          </w:p>
        </w:tc>
        <w:tc>
          <w:tcPr>
            <w:tcW w:w="1259" w:type="dxa"/>
          </w:tcPr>
          <w:p w14:paraId="57FBAAC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31 904</w:t>
            </w:r>
          </w:p>
        </w:tc>
        <w:tc>
          <w:tcPr>
            <w:tcW w:w="1162" w:type="dxa"/>
          </w:tcPr>
          <w:p w14:paraId="6CD29DA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15 %</w:t>
            </w:r>
          </w:p>
        </w:tc>
        <w:tc>
          <w:tcPr>
            <w:tcW w:w="1259" w:type="dxa"/>
          </w:tcPr>
          <w:p w14:paraId="66F807C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23.27 %</w:t>
            </w:r>
          </w:p>
        </w:tc>
        <w:tc>
          <w:tcPr>
            <w:tcW w:w="4262" w:type="dxa"/>
          </w:tcPr>
          <w:p w14:paraId="545063B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Reservado: evaluación final única en el TF1</w:t>
            </w:r>
          </w:p>
        </w:tc>
      </w:tr>
    </w:tbl>
    <w:p w14:paraId="079C71EA" w14:textId="77777777" w:rsidR="00A21BF2" w:rsidRDefault="00A21BF2">
      <w:pPr>
        <w:spacing w:after="60"/>
        <w:jc w:val="both"/>
      </w:pPr>
    </w:p>
    <w:p w14:paraId="17CACCC4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5.3 Razón de dicha elección</w:t>
      </w:r>
    </w:p>
    <w:p w14:paraId="5A1E3BDD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>Con más de 212 mil registros, un 15 % (≈ 32 mil pacientes) es suficiente para obtener estimaciones estables de las métricas. La estratificación garantiza que la proporción de malignos (23.3 %) sea idéntica en las tres partes. Al no existir dimensión tempor</w:t>
      </w:r>
      <w:r>
        <w:rPr>
          <w:rFonts w:ascii="Arial" w:eastAsia="Arial" w:hAnsi="Arial" w:cs="Arial"/>
          <w:sz w:val="24"/>
          <w:szCs w:val="24"/>
        </w:rPr>
        <w:t xml:space="preserve">al ni pacientes repetidos, una partición aleatoria es válida. Mantener un test intacto hasta el TF1 evita </w:t>
      </w:r>
      <w:proofErr w:type="spellStart"/>
      <w:r>
        <w:rPr>
          <w:rFonts w:ascii="Arial" w:eastAsia="Arial" w:hAnsi="Arial" w:cs="Arial"/>
          <w:sz w:val="24"/>
          <w:szCs w:val="24"/>
        </w:rPr>
        <w:t>sobreajustar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las decisiones al conjunto de evaluación final.</w:t>
      </w:r>
    </w:p>
    <w:p w14:paraId="54EB841F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 xml:space="preserve">5.4 Medidas adoptadas para evitar data </w:t>
      </w:r>
      <w:proofErr w:type="spellStart"/>
      <w:r>
        <w:rPr>
          <w:b/>
          <w:bCs/>
          <w:sz w:val="32"/>
          <w:szCs w:val="32"/>
        </w:rPr>
        <w:t>leakage</w:t>
      </w:r>
      <w:proofErr w:type="spellEnd"/>
    </w:p>
    <w:p w14:paraId="6A38763F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La separación se realiza </w:t>
      </w:r>
      <w:r>
        <w:rPr>
          <w:rFonts w:ascii="Arial" w:eastAsia="Arial" w:hAnsi="Arial" w:cs="Arial"/>
          <w:b/>
          <w:bCs/>
          <w:sz w:val="24"/>
          <w:szCs w:val="24"/>
        </w:rPr>
        <w:t>antes</w:t>
      </w:r>
      <w:r>
        <w:rPr>
          <w:rFonts w:ascii="Arial" w:eastAsia="Arial" w:hAnsi="Arial" w:cs="Arial"/>
          <w:sz w:val="24"/>
          <w:szCs w:val="24"/>
        </w:rPr>
        <w:t xml:space="preserve"> de cualq</w:t>
      </w:r>
      <w:r>
        <w:rPr>
          <w:rFonts w:ascii="Arial" w:eastAsia="Arial" w:hAnsi="Arial" w:cs="Arial"/>
          <w:sz w:val="24"/>
          <w:szCs w:val="24"/>
        </w:rPr>
        <w:t>uier transformación con parámetros.</w:t>
      </w:r>
    </w:p>
    <w:p w14:paraId="131D38B0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Imputación, escalado y codificación están dentro de un </w:t>
      </w:r>
      <w:r>
        <w:rPr>
          <w:rFonts w:ascii="Arial" w:eastAsia="Arial" w:hAnsi="Arial" w:cs="Arial"/>
          <w:b/>
          <w:bCs/>
          <w:sz w:val="24"/>
          <w:szCs w:val="24"/>
        </w:rPr>
        <w:t>Pipeline</w:t>
      </w:r>
      <w:r>
        <w:rPr>
          <w:rFonts w:ascii="Arial" w:eastAsia="Arial" w:hAnsi="Arial" w:cs="Arial"/>
          <w:sz w:val="24"/>
          <w:szCs w:val="24"/>
        </w:rPr>
        <w:t xml:space="preserve"> y se ajustan solo con </w:t>
      </w:r>
      <w:proofErr w:type="spellStart"/>
      <w:r>
        <w:rPr>
          <w:rFonts w:ascii="Arial" w:eastAsia="Arial" w:hAnsi="Arial" w:cs="Arial"/>
          <w:sz w:val="24"/>
          <w:szCs w:val="24"/>
        </w:rPr>
        <w:t>train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(y dentro de cada </w:t>
      </w:r>
      <w:proofErr w:type="spellStart"/>
      <w:r>
        <w:rPr>
          <w:rFonts w:ascii="Arial" w:eastAsia="Arial" w:hAnsi="Arial" w:cs="Arial"/>
          <w:sz w:val="24"/>
          <w:szCs w:val="24"/>
        </w:rPr>
        <w:t>fold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durante la validación cruzada).</w:t>
      </w:r>
    </w:p>
    <w:p w14:paraId="63147DB2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Se excluye </w:t>
      </w:r>
      <w:proofErr w:type="spellStart"/>
      <w:r>
        <w:rPr>
          <w:rFonts w:ascii="Arial" w:eastAsia="Arial" w:hAnsi="Arial" w:cs="Arial"/>
          <w:sz w:val="24"/>
          <w:szCs w:val="24"/>
        </w:rPr>
        <w:t>Thyroid_Cancer_Risk</w:t>
      </w:r>
      <w:proofErr w:type="spellEnd"/>
      <w:r>
        <w:rPr>
          <w:rFonts w:ascii="Arial" w:eastAsia="Arial" w:hAnsi="Arial" w:cs="Arial"/>
          <w:sz w:val="24"/>
          <w:szCs w:val="24"/>
        </w:rPr>
        <w:t>, cuyo origen es desconocido y que es</w:t>
      </w:r>
      <w:r>
        <w:rPr>
          <w:rFonts w:ascii="Arial" w:eastAsia="Arial" w:hAnsi="Arial" w:cs="Arial"/>
          <w:sz w:val="24"/>
          <w:szCs w:val="24"/>
        </w:rPr>
        <w:t>tá fuertemente asociado al diagnóstico.</w:t>
      </w:r>
    </w:p>
    <w:p w14:paraId="2426F3A0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El conjunto de </w:t>
      </w:r>
      <w:r>
        <w:rPr>
          <w:rFonts w:ascii="Arial" w:eastAsia="Arial" w:hAnsi="Arial" w:cs="Arial"/>
          <w:b/>
          <w:bCs/>
          <w:sz w:val="24"/>
          <w:szCs w:val="24"/>
        </w:rPr>
        <w:t>test no se utiliza en el TP1</w:t>
      </w:r>
      <w:r>
        <w:rPr>
          <w:rFonts w:ascii="Arial" w:eastAsia="Arial" w:hAnsi="Arial" w:cs="Arial"/>
          <w:sz w:val="24"/>
          <w:szCs w:val="24"/>
        </w:rPr>
        <w:t xml:space="preserve">: la comparación de modelos se hace solo con </w:t>
      </w:r>
      <w:proofErr w:type="spellStart"/>
      <w:r>
        <w:rPr>
          <w:rFonts w:ascii="Arial" w:eastAsia="Arial" w:hAnsi="Arial" w:cs="Arial"/>
          <w:sz w:val="24"/>
          <w:szCs w:val="24"/>
        </w:rPr>
        <w:t>validation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055D126D" w14:textId="77777777" w:rsidR="00A21BF2" w:rsidRDefault="00FB2279">
      <w:pPr>
        <w:spacing w:before="240" w:after="240"/>
      </w:pPr>
      <w:r>
        <w:br w:type="page"/>
      </w:r>
      <w:r>
        <w:rPr>
          <w:b/>
          <w:bCs/>
          <w:sz w:val="36"/>
          <w:szCs w:val="36"/>
        </w:rPr>
        <w:lastRenderedPageBreak/>
        <w:t>6. Flujo Reproducible de Preprocesamiento</w:t>
      </w:r>
    </w:p>
    <w:p w14:paraId="5E989625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 xml:space="preserve">El preprocesamiento se implementó con </w:t>
      </w:r>
      <w:r>
        <w:rPr>
          <w:rFonts w:ascii="Arial" w:eastAsia="Arial" w:hAnsi="Arial" w:cs="Arial"/>
          <w:b/>
          <w:bCs/>
          <w:sz w:val="24"/>
          <w:szCs w:val="24"/>
        </w:rPr>
        <w:t>Pipeline</w:t>
      </w:r>
      <w:r>
        <w:rPr>
          <w:rFonts w:ascii="Arial" w:eastAsia="Arial" w:hAnsi="Arial" w:cs="Arial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ColumnTransformer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sz w:val="24"/>
          <w:szCs w:val="24"/>
        </w:rPr>
        <w:t>scikit-learn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</w:t>
      </w:r>
      <w:proofErr w:type="spellStart"/>
      <w:r>
        <w:rPr>
          <w:rFonts w:ascii="Arial" w:eastAsia="Arial" w:hAnsi="Arial" w:cs="Arial"/>
          <w:sz w:val="24"/>
          <w:szCs w:val="24"/>
        </w:rPr>
        <w:t>src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/features.py). Cada modelo es un Pipeline completo «preprocesamiento + estimador», de modo que al llamar a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fit</w:t>
      </w:r>
      <w:proofErr w:type="spellEnd"/>
      <w:r>
        <w:rPr>
          <w:rFonts w:ascii="Arial" w:eastAsia="Arial" w:hAnsi="Arial" w:cs="Arial"/>
          <w:sz w:val="24"/>
          <w:szCs w:val="24"/>
        </w:rPr>
        <w:t>(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) con </w:t>
      </w:r>
      <w:proofErr w:type="spellStart"/>
      <w:r>
        <w:rPr>
          <w:rFonts w:ascii="Arial" w:eastAsia="Arial" w:hAnsi="Arial" w:cs="Arial"/>
          <w:sz w:val="24"/>
          <w:szCs w:val="24"/>
        </w:rPr>
        <w:t>train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las transformaciones se ajustan únicamente con esos datos y se aplican igual en </w:t>
      </w:r>
      <w:proofErr w:type="spellStart"/>
      <w:r>
        <w:rPr>
          <w:rFonts w:ascii="Arial" w:eastAsia="Arial" w:hAnsi="Arial" w:cs="Arial"/>
          <w:sz w:val="24"/>
          <w:szCs w:val="24"/>
        </w:rPr>
        <w:t>validation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test y en el uso futuro </w:t>
      </w:r>
      <w:r>
        <w:rPr>
          <w:rFonts w:ascii="Arial" w:eastAsia="Arial" w:hAnsi="Arial" w:cs="Arial"/>
          <w:sz w:val="24"/>
          <w:szCs w:val="24"/>
        </w:rPr>
        <w:t>del modelo.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517"/>
        <w:gridCol w:w="3227"/>
        <w:gridCol w:w="3227"/>
        <w:gridCol w:w="1329"/>
      </w:tblGrid>
      <w:tr w:rsidR="00A21BF2" w14:paraId="5EE8C8C2" w14:textId="77777777">
        <w:trPr>
          <w:cantSplit/>
          <w:tblHeader/>
          <w:jc w:val="center"/>
        </w:trPr>
        <w:tc>
          <w:tcPr>
            <w:tcW w:w="1518" w:type="dxa"/>
            <w:shd w:val="clear" w:color="auto" w:fill="1F3864"/>
          </w:tcPr>
          <w:p w14:paraId="1EC4EC4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variable</w:t>
            </w:r>
          </w:p>
        </w:tc>
        <w:tc>
          <w:tcPr>
            <w:tcW w:w="3227" w:type="dxa"/>
            <w:shd w:val="clear" w:color="auto" w:fill="1F3864"/>
          </w:tcPr>
          <w:p w14:paraId="03A9035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Columnas</w:t>
            </w:r>
          </w:p>
        </w:tc>
        <w:tc>
          <w:tcPr>
            <w:tcW w:w="3227" w:type="dxa"/>
            <w:shd w:val="clear" w:color="auto" w:fill="1F3864"/>
          </w:tcPr>
          <w:p w14:paraId="05F0CB4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Transformaciones</w:t>
            </w:r>
          </w:p>
        </w:tc>
        <w:tc>
          <w:tcPr>
            <w:tcW w:w="1329" w:type="dxa"/>
            <w:shd w:val="clear" w:color="auto" w:fill="1F3864"/>
          </w:tcPr>
          <w:p w14:paraId="01B3845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 de ajuste</w:t>
            </w:r>
          </w:p>
        </w:tc>
      </w:tr>
      <w:tr w:rsidR="00A21BF2" w14:paraId="20D81622" w14:textId="77777777">
        <w:trPr>
          <w:cantSplit/>
          <w:jc w:val="center"/>
        </w:trPr>
        <w:tc>
          <w:tcPr>
            <w:tcW w:w="1518" w:type="dxa"/>
          </w:tcPr>
          <w:p w14:paraId="236A9B7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Numéricas</w:t>
            </w:r>
          </w:p>
        </w:tc>
        <w:tc>
          <w:tcPr>
            <w:tcW w:w="3227" w:type="dxa"/>
          </w:tcPr>
          <w:p w14:paraId="4BD9E3D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Age,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TSH_Level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T3_Level, T4_Level,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Nodule_Size</w:t>
            </w:r>
            <w:proofErr w:type="spellEnd"/>
          </w:p>
        </w:tc>
        <w:tc>
          <w:tcPr>
            <w:tcW w:w="3227" w:type="dxa"/>
          </w:tcPr>
          <w:p w14:paraId="01059163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SimpleImputer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(median) →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StandardScaler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(solo Regresión Logística)</w:t>
            </w:r>
          </w:p>
        </w:tc>
        <w:tc>
          <w:tcPr>
            <w:tcW w:w="1329" w:type="dxa"/>
          </w:tcPr>
          <w:p w14:paraId="4DA728E1" w14:textId="77777777" w:rsidR="00A21BF2" w:rsidRDefault="00FB2279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fit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) sobre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train</w:t>
            </w:r>
            <w:proofErr w:type="spellEnd"/>
          </w:p>
        </w:tc>
      </w:tr>
      <w:tr w:rsidR="00A21BF2" w14:paraId="628D04C7" w14:textId="77777777">
        <w:trPr>
          <w:cantSplit/>
          <w:jc w:val="center"/>
        </w:trPr>
        <w:tc>
          <w:tcPr>
            <w:tcW w:w="1518" w:type="dxa"/>
          </w:tcPr>
          <w:p w14:paraId="1CD5E5D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Categóricas</w:t>
            </w:r>
          </w:p>
        </w:tc>
        <w:tc>
          <w:tcPr>
            <w:tcW w:w="3227" w:type="dxa"/>
          </w:tcPr>
          <w:p w14:paraId="54DFAB52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Gender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Family_History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Radiation_Exposure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Iodine_Deficiency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Smoking,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Obesity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Diabetes, Country,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Ethnicity</w:t>
            </w:r>
            <w:proofErr w:type="spellEnd"/>
          </w:p>
        </w:tc>
        <w:tc>
          <w:tcPr>
            <w:tcW w:w="3227" w:type="dxa"/>
          </w:tcPr>
          <w:p w14:paraId="23BC3B70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SimpleImputer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most_frequent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) →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OneHotEncoder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drop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='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if_binary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',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handle_unknown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='ignore')</w:t>
            </w:r>
          </w:p>
        </w:tc>
        <w:tc>
          <w:tcPr>
            <w:tcW w:w="1329" w:type="dxa"/>
          </w:tcPr>
          <w:p w14:paraId="0740F894" w14:textId="77777777" w:rsidR="00A21BF2" w:rsidRDefault="00FB2279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fit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) sobre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train</w:t>
            </w:r>
            <w:proofErr w:type="spellEnd"/>
          </w:p>
        </w:tc>
      </w:tr>
      <w:tr w:rsidR="00A21BF2" w14:paraId="54907AFE" w14:textId="77777777">
        <w:trPr>
          <w:cantSplit/>
          <w:jc w:val="center"/>
        </w:trPr>
        <w:tc>
          <w:tcPr>
            <w:tcW w:w="1518" w:type="dxa"/>
          </w:tcPr>
          <w:p w14:paraId="56FD3D4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Excluidas</w:t>
            </w:r>
          </w:p>
        </w:tc>
        <w:tc>
          <w:tcPr>
            <w:tcW w:w="3227" w:type="dxa"/>
          </w:tcPr>
          <w:p w14:paraId="4C24B7B7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Patient_ID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Thyroid_Cancer_Risk</w:t>
            </w:r>
            <w:proofErr w:type="spellEnd"/>
          </w:p>
        </w:tc>
        <w:tc>
          <w:tcPr>
            <w:tcW w:w="3227" w:type="dxa"/>
          </w:tcPr>
          <w:p w14:paraId="37A8C90A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remainder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='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drop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'</w:t>
            </w:r>
          </w:p>
        </w:tc>
        <w:tc>
          <w:tcPr>
            <w:tcW w:w="1329" w:type="dxa"/>
          </w:tcPr>
          <w:p w14:paraId="61354B2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—</w:t>
            </w:r>
          </w:p>
        </w:tc>
      </w:tr>
    </w:tbl>
    <w:p w14:paraId="45CB5716" w14:textId="77777777" w:rsidR="00A21BF2" w:rsidRDefault="00A21BF2">
      <w:pPr>
        <w:spacing w:after="60"/>
        <w:jc w:val="both"/>
      </w:pPr>
    </w:p>
    <w:p w14:paraId="24D8C7A7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 xml:space="preserve">El repositorio está organizado en carpetas data/, notebooks/, </w:t>
      </w:r>
      <w:proofErr w:type="spellStart"/>
      <w:r>
        <w:rPr>
          <w:rFonts w:ascii="Arial" w:eastAsia="Arial" w:hAnsi="Arial" w:cs="Arial"/>
          <w:sz w:val="24"/>
          <w:szCs w:val="24"/>
        </w:rPr>
        <w:t>src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/, </w:t>
      </w:r>
      <w:proofErr w:type="spellStart"/>
      <w:r>
        <w:rPr>
          <w:rFonts w:ascii="Arial" w:eastAsia="Arial" w:hAnsi="Arial" w:cs="Arial"/>
          <w:sz w:val="24"/>
          <w:szCs w:val="24"/>
        </w:rPr>
        <w:t>models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/ y </w:t>
      </w:r>
      <w:proofErr w:type="spellStart"/>
      <w:r>
        <w:rPr>
          <w:rFonts w:ascii="Arial" w:eastAsia="Arial" w:hAnsi="Arial" w:cs="Arial"/>
          <w:sz w:val="24"/>
          <w:szCs w:val="24"/>
        </w:rPr>
        <w:t>reports</w:t>
      </w:r>
      <w:proofErr w:type="spellEnd"/>
      <w:r>
        <w:rPr>
          <w:rFonts w:ascii="Arial" w:eastAsia="Arial" w:hAnsi="Arial" w:cs="Arial"/>
          <w:sz w:val="24"/>
          <w:szCs w:val="24"/>
        </w:rPr>
        <w:t>/. Todo el flujo puede reproducirse con «</w:t>
      </w:r>
      <w:proofErr w:type="spellStart"/>
      <w:r>
        <w:rPr>
          <w:rFonts w:ascii="Arial" w:eastAsia="Arial" w:hAnsi="Arial" w:cs="Arial"/>
          <w:sz w:val="24"/>
          <w:szCs w:val="24"/>
        </w:rPr>
        <w:t>pip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install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-r requirements.txt» y «</w:t>
      </w:r>
      <w:proofErr w:type="spellStart"/>
      <w:r>
        <w:rPr>
          <w:rFonts w:ascii="Arial" w:eastAsia="Arial" w:hAnsi="Arial" w:cs="Arial"/>
          <w:sz w:val="24"/>
          <w:szCs w:val="24"/>
        </w:rPr>
        <w:t>python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-m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src.train</w:t>
      </w:r>
      <w:proofErr w:type="spellEnd"/>
      <w:proofErr w:type="gramEnd"/>
      <w:r>
        <w:rPr>
          <w:rFonts w:ascii="Arial" w:eastAsia="Arial" w:hAnsi="Arial" w:cs="Arial"/>
          <w:sz w:val="24"/>
          <w:szCs w:val="24"/>
        </w:rPr>
        <w:t>», o ejecutando el not</w:t>
      </w:r>
      <w:r>
        <w:rPr>
          <w:rFonts w:ascii="Arial" w:eastAsia="Arial" w:hAnsi="Arial" w:cs="Arial"/>
          <w:sz w:val="24"/>
          <w:szCs w:val="24"/>
        </w:rPr>
        <w:t xml:space="preserve">ebook 01_TP1_thyroid.ipynb. Los modelos entrenados se guardan en </w:t>
      </w:r>
      <w:proofErr w:type="spellStart"/>
      <w:r>
        <w:rPr>
          <w:rFonts w:ascii="Arial" w:eastAsia="Arial" w:hAnsi="Arial" w:cs="Arial"/>
          <w:sz w:val="24"/>
          <w:szCs w:val="24"/>
        </w:rPr>
        <w:t>models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/ como </w:t>
      </w:r>
      <w:proofErr w:type="gramStart"/>
      <w:r>
        <w:rPr>
          <w:rFonts w:ascii="Arial" w:eastAsia="Arial" w:hAnsi="Arial" w:cs="Arial"/>
          <w:sz w:val="24"/>
          <w:szCs w:val="24"/>
        </w:rPr>
        <w:t>archivos .</w:t>
      </w:r>
      <w:proofErr w:type="spellStart"/>
      <w:r>
        <w:rPr>
          <w:rFonts w:ascii="Arial" w:eastAsia="Arial" w:hAnsi="Arial" w:cs="Arial"/>
          <w:sz w:val="24"/>
          <w:szCs w:val="24"/>
        </w:rPr>
        <w:t>joblib</w:t>
      </w:r>
      <w:proofErr w:type="spellEnd"/>
      <w:proofErr w:type="gramEnd"/>
      <w:r>
        <w:rPr>
          <w:rFonts w:ascii="Arial" w:eastAsia="Arial" w:hAnsi="Arial" w:cs="Arial"/>
          <w:sz w:val="24"/>
          <w:szCs w:val="24"/>
        </w:rPr>
        <w:t>.</w:t>
      </w:r>
    </w:p>
    <w:p w14:paraId="2B701149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6.1 Matriz de decisiones de herramientas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408"/>
        <w:gridCol w:w="2255"/>
        <w:gridCol w:w="1879"/>
        <w:gridCol w:w="3758"/>
      </w:tblGrid>
      <w:tr w:rsidR="00A21BF2" w14:paraId="0CB9FAD9" w14:textId="77777777">
        <w:trPr>
          <w:cantSplit/>
          <w:tblHeader/>
          <w:jc w:val="center"/>
        </w:trPr>
        <w:tc>
          <w:tcPr>
            <w:tcW w:w="1409" w:type="dxa"/>
            <w:shd w:val="clear" w:color="auto" w:fill="1F3864"/>
          </w:tcPr>
          <w:p w14:paraId="0553D92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Necesidad</w:t>
            </w:r>
          </w:p>
        </w:tc>
        <w:tc>
          <w:tcPr>
            <w:tcW w:w="2255" w:type="dxa"/>
            <w:shd w:val="clear" w:color="auto" w:fill="1F3864"/>
          </w:tcPr>
          <w:p w14:paraId="7CBEEA3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Herramienta elegida</w:t>
            </w:r>
          </w:p>
        </w:tc>
        <w:tc>
          <w:tcPr>
            <w:tcW w:w="1879" w:type="dxa"/>
            <w:shd w:val="clear" w:color="auto" w:fill="1F3864"/>
          </w:tcPr>
          <w:p w14:paraId="432BFE2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Alternativa considerada</w:t>
            </w:r>
          </w:p>
        </w:tc>
        <w:tc>
          <w:tcPr>
            <w:tcW w:w="3758" w:type="dxa"/>
            <w:shd w:val="clear" w:color="auto" w:fill="1F3864"/>
          </w:tcPr>
          <w:p w14:paraId="09C2AED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Justificación</w:t>
            </w:r>
          </w:p>
        </w:tc>
      </w:tr>
      <w:tr w:rsidR="00A21BF2" w14:paraId="48177050" w14:textId="77777777">
        <w:trPr>
          <w:cantSplit/>
          <w:jc w:val="center"/>
        </w:trPr>
        <w:tc>
          <w:tcPr>
            <w:tcW w:w="1409" w:type="dxa"/>
          </w:tcPr>
          <w:p w14:paraId="55D905A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EDA</w:t>
            </w:r>
          </w:p>
        </w:tc>
        <w:tc>
          <w:tcPr>
            <w:tcW w:w="2255" w:type="dxa"/>
          </w:tcPr>
          <w:p w14:paraId="01BB126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pandas,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matplotlib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seaborn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scipy</w:t>
            </w:r>
            <w:proofErr w:type="spellEnd"/>
          </w:p>
        </w:tc>
        <w:tc>
          <w:tcPr>
            <w:tcW w:w="1879" w:type="dxa"/>
          </w:tcPr>
          <w:p w14:paraId="00BD52AF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ydata-profiling</w:t>
            </w:r>
            <w:proofErr w:type="spellEnd"/>
          </w:p>
        </w:tc>
        <w:tc>
          <w:tcPr>
            <w:tcW w:w="3758" w:type="dxa"/>
          </w:tcPr>
          <w:p w14:paraId="7A19BA9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Gráficos orientados a preguntas y pruebas estadísticas (χ², Mann-Whitney, V de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Cramér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 en lugar de un reporte automático.</w:t>
            </w:r>
          </w:p>
        </w:tc>
      </w:tr>
      <w:tr w:rsidR="00A21BF2" w14:paraId="08FE8F8E" w14:textId="77777777">
        <w:trPr>
          <w:cantSplit/>
          <w:jc w:val="center"/>
        </w:trPr>
        <w:tc>
          <w:tcPr>
            <w:tcW w:w="1409" w:type="dxa"/>
          </w:tcPr>
          <w:p w14:paraId="463C8ED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Preparación</w:t>
            </w:r>
          </w:p>
        </w:tc>
        <w:tc>
          <w:tcPr>
            <w:tcW w:w="2255" w:type="dxa"/>
          </w:tcPr>
          <w:p w14:paraId="1C40CFE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Pipeline +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ColumnTransformer</w:t>
            </w:r>
            <w:proofErr w:type="spellEnd"/>
          </w:p>
        </w:tc>
        <w:tc>
          <w:tcPr>
            <w:tcW w:w="1879" w:type="dxa"/>
          </w:tcPr>
          <w:p w14:paraId="7D73DBA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Transformaciones manuales en pandas</w:t>
            </w:r>
          </w:p>
        </w:tc>
        <w:tc>
          <w:tcPr>
            <w:tcW w:w="3758" w:type="dxa"/>
          </w:tcPr>
          <w:p w14:paraId="60BE8B9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Evita fuga de información y permite reutilizar el mismo flujo en inferencia.</w:t>
            </w:r>
          </w:p>
        </w:tc>
      </w:tr>
      <w:tr w:rsidR="00A21BF2" w14:paraId="3BC18BAD" w14:textId="77777777">
        <w:trPr>
          <w:cantSplit/>
          <w:jc w:val="center"/>
        </w:trPr>
        <w:tc>
          <w:tcPr>
            <w:tcW w:w="1409" w:type="dxa"/>
          </w:tcPr>
          <w:p w14:paraId="28D5F0B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Modelamiento</w:t>
            </w:r>
          </w:p>
        </w:tc>
        <w:tc>
          <w:tcPr>
            <w:tcW w:w="2255" w:type="dxa"/>
          </w:tcPr>
          <w:p w14:paraId="327F48F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Regresión Logística,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Random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Forest,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HistGradientBoosting</w:t>
            </w:r>
            <w:proofErr w:type="spellEnd"/>
          </w:p>
        </w:tc>
        <w:tc>
          <w:tcPr>
            <w:tcW w:w="1879" w:type="dxa"/>
          </w:tcPr>
          <w:p w14:paraId="581EC19C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XGBoost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LightGBM</w:t>
            </w:r>
            <w:proofErr w:type="spellEnd"/>
          </w:p>
        </w:tc>
        <w:tc>
          <w:tcPr>
            <w:tcW w:w="3758" w:type="dxa"/>
          </w:tcPr>
          <w:p w14:paraId="2EF6590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HGB ofrece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boosting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eficiente sin dependencias adicio</w:t>
            </w:r>
            <w:r>
              <w:rPr>
                <w:rFonts w:ascii="Arial" w:eastAsia="Arial" w:hAnsi="Arial" w:cs="Arial"/>
                <w:sz w:val="18"/>
                <w:szCs w:val="18"/>
              </w:rPr>
              <w:t>nales; LR aporta interpretabilidad.</w:t>
            </w:r>
          </w:p>
        </w:tc>
      </w:tr>
      <w:tr w:rsidR="00A21BF2" w14:paraId="61AA0720" w14:textId="77777777">
        <w:trPr>
          <w:cantSplit/>
          <w:jc w:val="center"/>
        </w:trPr>
        <w:tc>
          <w:tcPr>
            <w:tcW w:w="1409" w:type="dxa"/>
          </w:tcPr>
          <w:p w14:paraId="0B183F8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Experimentación</w:t>
            </w:r>
          </w:p>
        </w:tc>
        <w:tc>
          <w:tcPr>
            <w:tcW w:w="2255" w:type="dxa"/>
          </w:tcPr>
          <w:p w14:paraId="3C4A8D37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StratifiedKFold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(TP1);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Optuna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MLflow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(TF1)</w:t>
            </w:r>
          </w:p>
        </w:tc>
        <w:tc>
          <w:tcPr>
            <w:tcW w:w="1879" w:type="dxa"/>
          </w:tcPr>
          <w:p w14:paraId="13184908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GridSearchCV</w:t>
            </w:r>
            <w:proofErr w:type="spellEnd"/>
          </w:p>
        </w:tc>
        <w:tc>
          <w:tcPr>
            <w:tcW w:w="3758" w:type="dxa"/>
          </w:tcPr>
          <w:p w14:paraId="25B6676A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Optuna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explora el espacio de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hiperparámetros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de forma más eficiente;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MLflow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registra cada configuración.</w:t>
            </w:r>
          </w:p>
        </w:tc>
      </w:tr>
      <w:tr w:rsidR="00A21BF2" w14:paraId="78816817" w14:textId="77777777">
        <w:trPr>
          <w:cantSplit/>
          <w:jc w:val="center"/>
        </w:trPr>
        <w:tc>
          <w:tcPr>
            <w:tcW w:w="1409" w:type="dxa"/>
          </w:tcPr>
          <w:p w14:paraId="52E04A9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Interpretabilidad</w:t>
            </w:r>
          </w:p>
        </w:tc>
        <w:tc>
          <w:tcPr>
            <w:tcW w:w="2255" w:type="dxa"/>
          </w:tcPr>
          <w:p w14:paraId="019B49C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Coeficientes LR (TP1); SHAP (TF1)</w:t>
            </w:r>
          </w:p>
        </w:tc>
        <w:tc>
          <w:tcPr>
            <w:tcW w:w="1879" w:type="dxa"/>
          </w:tcPr>
          <w:p w14:paraId="3D69D126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Permutation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importance</w:t>
            </w:r>
            <w:proofErr w:type="spellEnd"/>
          </w:p>
        </w:tc>
        <w:tc>
          <w:tcPr>
            <w:tcW w:w="3758" w:type="dxa"/>
          </w:tcPr>
          <w:p w14:paraId="1F897CB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SHAP permite explicaciones globales y por paciente.</w:t>
            </w:r>
          </w:p>
        </w:tc>
      </w:tr>
      <w:tr w:rsidR="00A21BF2" w14:paraId="577D6575" w14:textId="77777777">
        <w:trPr>
          <w:cantSplit/>
          <w:jc w:val="center"/>
        </w:trPr>
        <w:tc>
          <w:tcPr>
            <w:tcW w:w="1409" w:type="dxa"/>
          </w:tcPr>
          <w:p w14:paraId="178339B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Despliegue</w:t>
            </w:r>
          </w:p>
        </w:tc>
        <w:tc>
          <w:tcPr>
            <w:tcW w:w="2255" w:type="dxa"/>
          </w:tcPr>
          <w:p w14:paraId="204AB30C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Streamlit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(TF1)</w:t>
            </w:r>
          </w:p>
        </w:tc>
        <w:tc>
          <w:tcPr>
            <w:tcW w:w="1879" w:type="dxa"/>
          </w:tcPr>
          <w:p w14:paraId="6CC38D5A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FastAPI</w:t>
            </w:r>
            <w:proofErr w:type="spellEnd"/>
          </w:p>
        </w:tc>
        <w:tc>
          <w:tcPr>
            <w:tcW w:w="3758" w:type="dxa"/>
          </w:tcPr>
          <w:p w14:paraId="2512A62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Interfaz sencilla para demostrar el uso del modelo fuera del notebook.</w:t>
            </w:r>
          </w:p>
        </w:tc>
      </w:tr>
    </w:tbl>
    <w:p w14:paraId="00AA2F4C" w14:textId="77777777" w:rsidR="00A21BF2" w:rsidRDefault="00A21BF2">
      <w:pPr>
        <w:spacing w:after="60"/>
        <w:jc w:val="both"/>
      </w:pPr>
    </w:p>
    <w:p w14:paraId="1BE51868" w14:textId="77777777" w:rsidR="00A21BF2" w:rsidRDefault="00FB2279">
      <w:pPr>
        <w:spacing w:before="240" w:after="240"/>
      </w:pPr>
      <w:r>
        <w:br w:type="page"/>
      </w:r>
      <w:r>
        <w:rPr>
          <w:b/>
          <w:bCs/>
          <w:sz w:val="36"/>
          <w:szCs w:val="36"/>
        </w:rPr>
        <w:lastRenderedPageBreak/>
        <w:t xml:space="preserve">7. </w:t>
      </w:r>
      <w:proofErr w:type="spellStart"/>
      <w:r>
        <w:rPr>
          <w:b/>
          <w:bCs/>
          <w:sz w:val="36"/>
          <w:szCs w:val="36"/>
        </w:rPr>
        <w:t>Baseline</w:t>
      </w:r>
      <w:proofErr w:type="spellEnd"/>
    </w:p>
    <w:p w14:paraId="3EE5FE30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>Para responder si el mode</w:t>
      </w:r>
      <w:r>
        <w:rPr>
          <w:rFonts w:ascii="Arial" w:eastAsia="Arial" w:hAnsi="Arial" w:cs="Arial"/>
          <w:sz w:val="24"/>
          <w:szCs w:val="24"/>
        </w:rPr>
        <w:t>lo mejora realmente frente a una solución trivial, se definieron tres referencias: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725"/>
        <w:gridCol w:w="3451"/>
        <w:gridCol w:w="959"/>
        <w:gridCol w:w="1055"/>
        <w:gridCol w:w="1055"/>
        <w:gridCol w:w="1055"/>
      </w:tblGrid>
      <w:tr w:rsidR="00A21BF2" w14:paraId="786020EA" w14:textId="77777777">
        <w:trPr>
          <w:cantSplit/>
          <w:tblHeader/>
          <w:jc w:val="center"/>
        </w:trPr>
        <w:tc>
          <w:tcPr>
            <w:tcW w:w="1726" w:type="dxa"/>
            <w:shd w:val="clear" w:color="auto" w:fill="1F3864"/>
          </w:tcPr>
          <w:p w14:paraId="18554374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Baseline</w:t>
            </w:r>
            <w:proofErr w:type="spellEnd"/>
          </w:p>
        </w:tc>
        <w:tc>
          <w:tcPr>
            <w:tcW w:w="3452" w:type="dxa"/>
            <w:shd w:val="clear" w:color="auto" w:fill="1F3864"/>
          </w:tcPr>
          <w:p w14:paraId="1A098A5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959" w:type="dxa"/>
            <w:shd w:val="clear" w:color="auto" w:fill="1F3864"/>
          </w:tcPr>
          <w:p w14:paraId="7B0DE7BA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Recall</w:t>
            </w:r>
            <w:proofErr w:type="spellEnd"/>
          </w:p>
        </w:tc>
        <w:tc>
          <w:tcPr>
            <w:tcW w:w="1055" w:type="dxa"/>
            <w:shd w:val="clear" w:color="auto" w:fill="1F3864"/>
          </w:tcPr>
          <w:p w14:paraId="5F7FB18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Precisión</w:t>
            </w:r>
          </w:p>
        </w:tc>
        <w:tc>
          <w:tcPr>
            <w:tcW w:w="1055" w:type="dxa"/>
            <w:shd w:val="clear" w:color="auto" w:fill="1F3864"/>
          </w:tcPr>
          <w:p w14:paraId="40CA2B5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ROC-AUC</w:t>
            </w:r>
          </w:p>
        </w:tc>
        <w:tc>
          <w:tcPr>
            <w:tcW w:w="1055" w:type="dxa"/>
            <w:shd w:val="clear" w:color="auto" w:fill="1F3864"/>
          </w:tcPr>
          <w:p w14:paraId="26ED4AE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PR-AUC</w:t>
            </w:r>
          </w:p>
        </w:tc>
      </w:tr>
      <w:tr w:rsidR="00A21BF2" w14:paraId="6715E039" w14:textId="77777777">
        <w:trPr>
          <w:cantSplit/>
          <w:jc w:val="center"/>
        </w:trPr>
        <w:tc>
          <w:tcPr>
            <w:tcW w:w="1726" w:type="dxa"/>
          </w:tcPr>
          <w:p w14:paraId="1ADBA16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Siempre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Benign</w:t>
            </w:r>
            <w:proofErr w:type="spellEnd"/>
          </w:p>
        </w:tc>
        <w:tc>
          <w:tcPr>
            <w:tcW w:w="3452" w:type="dxa"/>
          </w:tcPr>
          <w:p w14:paraId="76CBB193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DummyClassifier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most_frequent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  <w:tc>
          <w:tcPr>
            <w:tcW w:w="959" w:type="dxa"/>
          </w:tcPr>
          <w:p w14:paraId="7F68475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0.000</w:t>
            </w:r>
          </w:p>
        </w:tc>
        <w:tc>
          <w:tcPr>
            <w:tcW w:w="1055" w:type="dxa"/>
          </w:tcPr>
          <w:p w14:paraId="5E85C70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0.000</w:t>
            </w:r>
          </w:p>
        </w:tc>
        <w:tc>
          <w:tcPr>
            <w:tcW w:w="1055" w:type="dxa"/>
          </w:tcPr>
          <w:p w14:paraId="4D30F2B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0.500</w:t>
            </w:r>
          </w:p>
        </w:tc>
        <w:tc>
          <w:tcPr>
            <w:tcW w:w="1055" w:type="dxa"/>
          </w:tcPr>
          <w:p w14:paraId="69DD3A6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0.233</w:t>
            </w:r>
          </w:p>
        </w:tc>
      </w:tr>
      <w:tr w:rsidR="00A21BF2" w14:paraId="63AD2DD8" w14:textId="77777777">
        <w:trPr>
          <w:cantSplit/>
          <w:jc w:val="center"/>
        </w:trPr>
        <w:tc>
          <w:tcPr>
            <w:tcW w:w="1726" w:type="dxa"/>
          </w:tcPr>
          <w:p w14:paraId="4D47D900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Dummy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estratificado</w:t>
            </w:r>
          </w:p>
        </w:tc>
        <w:tc>
          <w:tcPr>
            <w:tcW w:w="3452" w:type="dxa"/>
          </w:tcPr>
          <w:p w14:paraId="585CBD3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Predice al azar respetando la proporción de clases</w:t>
            </w:r>
          </w:p>
        </w:tc>
        <w:tc>
          <w:tcPr>
            <w:tcW w:w="959" w:type="dxa"/>
          </w:tcPr>
          <w:p w14:paraId="78D426F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0.226</w:t>
            </w:r>
          </w:p>
        </w:tc>
        <w:tc>
          <w:tcPr>
            <w:tcW w:w="1055" w:type="dxa"/>
          </w:tcPr>
          <w:p w14:paraId="7DE6F9B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0.227</w:t>
            </w:r>
          </w:p>
        </w:tc>
        <w:tc>
          <w:tcPr>
            <w:tcW w:w="1055" w:type="dxa"/>
          </w:tcPr>
          <w:p w14:paraId="2105C4C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0.496</w:t>
            </w:r>
          </w:p>
        </w:tc>
        <w:tc>
          <w:tcPr>
            <w:tcW w:w="1055" w:type="dxa"/>
          </w:tcPr>
          <w:p w14:paraId="755BF40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0.231</w:t>
            </w:r>
          </w:p>
        </w:tc>
      </w:tr>
      <w:tr w:rsidR="00A21BF2" w14:paraId="5B418D69" w14:textId="77777777">
        <w:trPr>
          <w:cantSplit/>
          <w:jc w:val="center"/>
        </w:trPr>
        <w:tc>
          <w:tcPr>
            <w:tcW w:w="1726" w:type="dxa"/>
          </w:tcPr>
          <w:p w14:paraId="05C4A2F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Regla del dominio</w:t>
            </w:r>
          </w:p>
        </w:tc>
        <w:tc>
          <w:tcPr>
            <w:tcW w:w="3452" w:type="dxa"/>
          </w:tcPr>
          <w:p w14:paraId="63ADB6D9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Malignant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si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Thyroid_Cancer_Risk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= High</w:t>
            </w:r>
          </w:p>
        </w:tc>
        <w:tc>
          <w:tcPr>
            <w:tcW w:w="959" w:type="dxa"/>
          </w:tcPr>
          <w:p w14:paraId="1A4C951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0.453</w:t>
            </w:r>
          </w:p>
        </w:tc>
        <w:tc>
          <w:tcPr>
            <w:tcW w:w="1055" w:type="dxa"/>
          </w:tcPr>
          <w:p w14:paraId="0700BA0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0.701</w:t>
            </w:r>
          </w:p>
        </w:tc>
        <w:tc>
          <w:tcPr>
            <w:tcW w:w="1055" w:type="dxa"/>
          </w:tcPr>
          <w:p w14:paraId="41EC444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0.701</w:t>
            </w:r>
          </w:p>
        </w:tc>
        <w:tc>
          <w:tcPr>
            <w:tcW w:w="1055" w:type="dxa"/>
          </w:tcPr>
          <w:p w14:paraId="20042D1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0.465</w:t>
            </w:r>
          </w:p>
        </w:tc>
      </w:tr>
    </w:tbl>
    <w:p w14:paraId="7CDAE3BC" w14:textId="77777777" w:rsidR="00A21BF2" w:rsidRDefault="00A21BF2">
      <w:pPr>
        <w:spacing w:after="60"/>
        <w:jc w:val="both"/>
      </w:pPr>
    </w:p>
    <w:p w14:paraId="745FA765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Interpretación del grupo:</w:t>
      </w:r>
      <w:r>
        <w:rPr>
          <w:rFonts w:ascii="Arial" w:eastAsia="Arial" w:hAnsi="Arial" w:cs="Arial"/>
          <w:sz w:val="24"/>
          <w:szCs w:val="24"/>
        </w:rPr>
        <w:t xml:space="preserve"> los </w:t>
      </w:r>
      <w:proofErr w:type="spellStart"/>
      <w:r>
        <w:rPr>
          <w:rFonts w:ascii="Arial" w:eastAsia="Arial" w:hAnsi="Arial" w:cs="Arial"/>
          <w:sz w:val="24"/>
          <w:szCs w:val="24"/>
        </w:rPr>
        <w:t>Dummy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representan el piso mínimo (equivalente al azar). La regla del dominio es una referencia exigente: resume el conocimiento previo incorporado en el puntaje de riesgo. Un modelo útil debería al menos igualarla sin utilizar esa variable.</w:t>
      </w:r>
    </w:p>
    <w:p w14:paraId="14A5B086" w14:textId="77777777" w:rsidR="00A21BF2" w:rsidRDefault="00FB2279">
      <w:pPr>
        <w:spacing w:before="240" w:after="240"/>
      </w:pPr>
      <w:r>
        <w:br w:type="page"/>
      </w:r>
      <w:r>
        <w:rPr>
          <w:b/>
          <w:bCs/>
          <w:sz w:val="36"/>
          <w:szCs w:val="36"/>
        </w:rPr>
        <w:lastRenderedPageBreak/>
        <w:t>8. Modelo</w:t>
      </w:r>
      <w:r>
        <w:rPr>
          <w:b/>
          <w:bCs/>
          <w:sz w:val="36"/>
          <w:szCs w:val="36"/>
        </w:rPr>
        <w:t>s Preliminares</w:t>
      </w:r>
    </w:p>
    <w:p w14:paraId="3371CEA3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sz w:val="24"/>
          <w:szCs w:val="24"/>
        </w:rPr>
        <w:t xml:space="preserve">Se compararon tres alternativas, todas con </w:t>
      </w:r>
      <w:proofErr w:type="spellStart"/>
      <w:r>
        <w:rPr>
          <w:rFonts w:ascii="Arial" w:eastAsia="Arial" w:hAnsi="Arial" w:cs="Arial"/>
          <w:sz w:val="24"/>
          <w:szCs w:val="24"/>
        </w:rPr>
        <w:t>class_weight</w:t>
      </w:r>
      <w:proofErr w:type="spellEnd"/>
      <w:r>
        <w:rPr>
          <w:rFonts w:ascii="Arial" w:eastAsia="Arial" w:hAnsi="Arial" w:cs="Arial"/>
          <w:sz w:val="24"/>
          <w:szCs w:val="24"/>
        </w:rPr>
        <w:t>='</w:t>
      </w:r>
      <w:proofErr w:type="spellStart"/>
      <w:r>
        <w:rPr>
          <w:rFonts w:ascii="Arial" w:eastAsia="Arial" w:hAnsi="Arial" w:cs="Arial"/>
          <w:sz w:val="24"/>
          <w:szCs w:val="24"/>
        </w:rPr>
        <w:t>balanced</w:t>
      </w:r>
      <w:proofErr w:type="spellEnd"/>
      <w:r>
        <w:rPr>
          <w:rFonts w:ascii="Arial" w:eastAsia="Arial" w:hAnsi="Arial" w:cs="Arial"/>
          <w:sz w:val="24"/>
          <w:szCs w:val="24"/>
        </w:rPr>
        <w:t>' para compensar el desbalance:</w:t>
      </w:r>
    </w:p>
    <w:p w14:paraId="30110168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Regresión Logística:</w:t>
      </w:r>
      <w:r>
        <w:rPr>
          <w:rFonts w:ascii="Arial" w:eastAsia="Arial" w:hAnsi="Arial" w:cs="Arial"/>
          <w:sz w:val="24"/>
          <w:szCs w:val="24"/>
        </w:rPr>
        <w:t xml:space="preserve"> modelo lineal e interpretable (sus coeficientes son log-</w:t>
      </w:r>
      <w:proofErr w:type="spellStart"/>
      <w:r>
        <w:rPr>
          <w:rFonts w:ascii="Arial" w:eastAsia="Arial" w:hAnsi="Arial" w:cs="Arial"/>
          <w:sz w:val="24"/>
          <w:szCs w:val="24"/>
        </w:rPr>
        <w:t>odds</w:t>
      </w:r>
      <w:proofErr w:type="spellEnd"/>
      <w:r>
        <w:rPr>
          <w:rFonts w:ascii="Arial" w:eastAsia="Arial" w:hAnsi="Arial" w:cs="Arial"/>
          <w:sz w:val="24"/>
          <w:szCs w:val="24"/>
        </w:rPr>
        <w:t>). Es adecuado si el efecto de los factores binarios es adit</w:t>
      </w:r>
      <w:r>
        <w:rPr>
          <w:rFonts w:ascii="Arial" w:eastAsia="Arial" w:hAnsi="Arial" w:cs="Arial"/>
          <w:sz w:val="24"/>
          <w:szCs w:val="24"/>
        </w:rPr>
        <w:t>ivo.</w:t>
      </w:r>
    </w:p>
    <w:p w14:paraId="176FC37B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Random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Forest</w:t>
      </w:r>
      <w:r>
        <w:rPr>
          <w:rFonts w:ascii="Arial" w:eastAsia="Arial" w:hAnsi="Arial" w:cs="Arial"/>
          <w:sz w:val="24"/>
          <w:szCs w:val="24"/>
        </w:rPr>
        <w:t xml:space="preserve"> (200 árboles, profundidad máxima 12, mínimo 20 muestras por hoja): captura interacciones y no linealidades sin necesidad de escalar.</w:t>
      </w:r>
    </w:p>
    <w:p w14:paraId="35AB1136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HistGradientBoosting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(200 iteraciones, </w:t>
      </w:r>
      <w:proofErr w:type="spellStart"/>
      <w:r>
        <w:rPr>
          <w:rFonts w:ascii="Arial" w:eastAsia="Arial" w:hAnsi="Arial" w:cs="Arial"/>
          <w:sz w:val="24"/>
          <w:szCs w:val="24"/>
        </w:rPr>
        <w:t>learning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rate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0.1): </w:t>
      </w:r>
      <w:proofErr w:type="spellStart"/>
      <w:r>
        <w:rPr>
          <w:rFonts w:ascii="Arial" w:eastAsia="Arial" w:hAnsi="Arial" w:cs="Arial"/>
          <w:sz w:val="24"/>
          <w:szCs w:val="24"/>
        </w:rPr>
        <w:t>boosting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basado en histogramas, eficien</w:t>
      </w:r>
      <w:r>
        <w:rPr>
          <w:rFonts w:ascii="Arial" w:eastAsia="Arial" w:hAnsi="Arial" w:cs="Arial"/>
          <w:sz w:val="24"/>
          <w:szCs w:val="24"/>
        </w:rPr>
        <w:t>te con 150 mil registros.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25"/>
        <w:gridCol w:w="2325"/>
        <w:gridCol w:w="2325"/>
        <w:gridCol w:w="2325"/>
      </w:tblGrid>
      <w:tr w:rsidR="00A21BF2" w14:paraId="034374B7" w14:textId="77777777">
        <w:trPr>
          <w:cantSplit/>
          <w:tblHeader/>
          <w:jc w:val="center"/>
        </w:trPr>
        <w:tc>
          <w:tcPr>
            <w:tcW w:w="2325" w:type="dxa"/>
            <w:shd w:val="clear" w:color="auto" w:fill="1F3864"/>
          </w:tcPr>
          <w:p w14:paraId="7EC0220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Modelo</w:t>
            </w:r>
          </w:p>
        </w:tc>
        <w:tc>
          <w:tcPr>
            <w:tcW w:w="2325" w:type="dxa"/>
            <w:shd w:val="clear" w:color="auto" w:fill="1F3864"/>
          </w:tcPr>
          <w:p w14:paraId="2BE739F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ROC-AUC CV (media)</w:t>
            </w:r>
          </w:p>
        </w:tc>
        <w:tc>
          <w:tcPr>
            <w:tcW w:w="2325" w:type="dxa"/>
            <w:shd w:val="clear" w:color="auto" w:fill="1F3864"/>
          </w:tcPr>
          <w:p w14:paraId="60A7B2A3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Desv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. estándar</w:t>
            </w:r>
          </w:p>
        </w:tc>
        <w:tc>
          <w:tcPr>
            <w:tcW w:w="2325" w:type="dxa"/>
            <w:shd w:val="clear" w:color="auto" w:fill="1F3864"/>
          </w:tcPr>
          <w:p w14:paraId="1C7D055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Tiempo (s)</w:t>
            </w:r>
          </w:p>
        </w:tc>
      </w:tr>
      <w:tr w:rsidR="00A21BF2" w14:paraId="659058E7" w14:textId="77777777">
        <w:trPr>
          <w:cantSplit/>
          <w:jc w:val="center"/>
        </w:trPr>
        <w:tc>
          <w:tcPr>
            <w:tcW w:w="2325" w:type="dxa"/>
          </w:tcPr>
          <w:p w14:paraId="4DE13F3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Regresión Logística</w:t>
            </w:r>
          </w:p>
        </w:tc>
        <w:tc>
          <w:tcPr>
            <w:tcW w:w="2325" w:type="dxa"/>
          </w:tcPr>
          <w:p w14:paraId="5543C7D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0.670</w:t>
            </w:r>
          </w:p>
        </w:tc>
        <w:tc>
          <w:tcPr>
            <w:tcW w:w="2325" w:type="dxa"/>
          </w:tcPr>
          <w:p w14:paraId="2455D12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0.003</w:t>
            </w:r>
          </w:p>
        </w:tc>
        <w:tc>
          <w:tcPr>
            <w:tcW w:w="2325" w:type="dxa"/>
          </w:tcPr>
          <w:p w14:paraId="0B44B2E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≈ 5</w:t>
            </w:r>
          </w:p>
        </w:tc>
      </w:tr>
      <w:tr w:rsidR="00A21BF2" w14:paraId="04B87E1B" w14:textId="77777777">
        <w:trPr>
          <w:cantSplit/>
          <w:jc w:val="center"/>
        </w:trPr>
        <w:tc>
          <w:tcPr>
            <w:tcW w:w="2325" w:type="dxa"/>
          </w:tcPr>
          <w:p w14:paraId="6DAF81F6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Random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Forest</w:t>
            </w:r>
          </w:p>
        </w:tc>
        <w:tc>
          <w:tcPr>
            <w:tcW w:w="2325" w:type="dxa"/>
          </w:tcPr>
          <w:p w14:paraId="0119B7B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0.696</w:t>
            </w:r>
          </w:p>
        </w:tc>
        <w:tc>
          <w:tcPr>
            <w:tcW w:w="2325" w:type="dxa"/>
          </w:tcPr>
          <w:p w14:paraId="52AA09B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0.003</w:t>
            </w:r>
          </w:p>
        </w:tc>
        <w:tc>
          <w:tcPr>
            <w:tcW w:w="2325" w:type="dxa"/>
          </w:tcPr>
          <w:p w14:paraId="6042FB8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≈ 72</w:t>
            </w:r>
          </w:p>
        </w:tc>
      </w:tr>
      <w:tr w:rsidR="00A21BF2" w14:paraId="51C9D789" w14:textId="77777777">
        <w:trPr>
          <w:cantSplit/>
          <w:jc w:val="center"/>
        </w:trPr>
        <w:tc>
          <w:tcPr>
            <w:tcW w:w="2325" w:type="dxa"/>
          </w:tcPr>
          <w:p w14:paraId="34CA824A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HistGradientBoosting</w:t>
            </w:r>
            <w:proofErr w:type="spellEnd"/>
          </w:p>
        </w:tc>
        <w:tc>
          <w:tcPr>
            <w:tcW w:w="2325" w:type="dxa"/>
          </w:tcPr>
          <w:p w14:paraId="57F5185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0.695</w:t>
            </w:r>
          </w:p>
        </w:tc>
        <w:tc>
          <w:tcPr>
            <w:tcW w:w="2325" w:type="dxa"/>
          </w:tcPr>
          <w:p w14:paraId="70B48C9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0.002</w:t>
            </w:r>
          </w:p>
        </w:tc>
        <w:tc>
          <w:tcPr>
            <w:tcW w:w="2325" w:type="dxa"/>
          </w:tcPr>
          <w:p w14:paraId="598155E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≈ 15</w:t>
            </w:r>
          </w:p>
        </w:tc>
      </w:tr>
    </w:tbl>
    <w:p w14:paraId="475E8154" w14:textId="77777777" w:rsidR="00A21BF2" w:rsidRDefault="00A21BF2">
      <w:pPr>
        <w:spacing w:after="60"/>
        <w:jc w:val="both"/>
      </w:pPr>
    </w:p>
    <w:p w14:paraId="0F945633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Lo que muestran los datos:</w:t>
      </w:r>
      <w:r>
        <w:rPr>
          <w:rFonts w:ascii="Arial" w:eastAsia="Arial" w:hAnsi="Arial" w:cs="Arial"/>
          <w:sz w:val="24"/>
          <w:szCs w:val="24"/>
        </w:rPr>
        <w:t xml:space="preserve"> la desviación de ROC-AUC entre los 5 </w:t>
      </w:r>
      <w:proofErr w:type="spellStart"/>
      <w:r>
        <w:rPr>
          <w:rFonts w:ascii="Arial" w:eastAsia="Arial" w:hAnsi="Arial" w:cs="Arial"/>
          <w:sz w:val="24"/>
          <w:szCs w:val="24"/>
        </w:rPr>
        <w:t>folds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es muy baja (≤ 0.003), por lo que las diferencias observadas no dependen de una partición favorable. Los dos modelos de árboles superan a la Regresión Logística.</w:t>
      </w:r>
    </w:p>
    <w:p w14:paraId="48BB9E78" w14:textId="77777777" w:rsidR="00A21BF2" w:rsidRDefault="00FB2279">
      <w:pPr>
        <w:spacing w:before="240" w:after="240"/>
      </w:pPr>
      <w:r>
        <w:br w:type="page"/>
      </w:r>
      <w:r>
        <w:rPr>
          <w:b/>
          <w:bCs/>
          <w:sz w:val="36"/>
          <w:szCs w:val="36"/>
        </w:rPr>
        <w:lastRenderedPageBreak/>
        <w:t>9. Evaluación Preliminar</w:t>
      </w:r>
    </w:p>
    <w:p w14:paraId="60BB476B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9.1 Métricas seleccionadas y justificación</w:t>
      </w:r>
    </w:p>
    <w:p w14:paraId="0BAFCE4F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Recall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Malignant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en </w:t>
      </w:r>
      <w:proofErr w:type="spellStart"/>
      <w:r>
        <w:rPr>
          <w:rFonts w:ascii="Arial" w:eastAsia="Arial" w:hAnsi="Arial" w:cs="Arial"/>
          <w:sz w:val="24"/>
          <w:szCs w:val="24"/>
        </w:rPr>
        <w:t>triaje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oncológico un falso negativo (paciente maligno no detectado) es el error más costoso.</w:t>
      </w:r>
    </w:p>
    <w:p w14:paraId="728A5888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Precisión de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Malignant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cada falso positivo implica estudios innecesarios (biopsias, ansie</w:t>
      </w:r>
      <w:r>
        <w:rPr>
          <w:rFonts w:ascii="Arial" w:eastAsia="Arial" w:hAnsi="Arial" w:cs="Arial"/>
          <w:sz w:val="24"/>
          <w:szCs w:val="24"/>
        </w:rPr>
        <w:t>dad, costos).</w:t>
      </w:r>
    </w:p>
    <w:p w14:paraId="40733D36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F1:</w:t>
      </w:r>
      <w:r>
        <w:rPr>
          <w:rFonts w:ascii="Arial" w:eastAsia="Arial" w:hAnsi="Arial" w:cs="Arial"/>
          <w:sz w:val="24"/>
          <w:szCs w:val="24"/>
        </w:rPr>
        <w:t xml:space="preserve"> resume el equilibrio entre </w:t>
      </w:r>
      <w:proofErr w:type="spellStart"/>
      <w:r>
        <w:rPr>
          <w:rFonts w:ascii="Arial" w:eastAsia="Arial" w:hAnsi="Arial" w:cs="Arial"/>
          <w:sz w:val="24"/>
          <w:szCs w:val="24"/>
        </w:rPr>
        <w:t>recall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precisión.</w:t>
      </w:r>
    </w:p>
    <w:p w14:paraId="2000185C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ROC-AUC:</w:t>
      </w:r>
      <w:r>
        <w:rPr>
          <w:rFonts w:ascii="Arial" w:eastAsia="Arial" w:hAnsi="Arial" w:cs="Arial"/>
          <w:sz w:val="24"/>
          <w:szCs w:val="24"/>
        </w:rPr>
        <w:t xml:space="preserve"> mide la capacidad de ordenar pacientes por riesgo, independientemente del umbral.</w:t>
      </w:r>
    </w:p>
    <w:p w14:paraId="3EB34FCC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PR-AUC:</w:t>
      </w:r>
      <w:r>
        <w:rPr>
          <w:rFonts w:ascii="Arial" w:eastAsia="Arial" w:hAnsi="Arial" w:cs="Arial"/>
          <w:sz w:val="24"/>
          <w:szCs w:val="24"/>
        </w:rPr>
        <w:t xml:space="preserve"> más informativa que ROC-AUC con clases desbalanceadas; su valor de referencia es la</w:t>
      </w:r>
      <w:r>
        <w:rPr>
          <w:rFonts w:ascii="Arial" w:eastAsia="Arial" w:hAnsi="Arial" w:cs="Arial"/>
          <w:sz w:val="24"/>
          <w:szCs w:val="24"/>
        </w:rPr>
        <w:t xml:space="preserve"> prevalencia (0.233).</w:t>
      </w:r>
    </w:p>
    <w:p w14:paraId="00091ECE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9.2 Resultados en el conjunto de validación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800"/>
        <w:gridCol w:w="1000"/>
        <w:gridCol w:w="1100"/>
        <w:gridCol w:w="900"/>
        <w:gridCol w:w="1300"/>
        <w:gridCol w:w="1100"/>
        <w:gridCol w:w="1100"/>
      </w:tblGrid>
      <w:tr w:rsidR="00A21BF2" w14:paraId="65BF4B88" w14:textId="77777777">
        <w:trPr>
          <w:cantSplit/>
          <w:tblHeader/>
          <w:jc w:val="center"/>
        </w:trPr>
        <w:tc>
          <w:tcPr>
            <w:tcW w:w="2800" w:type="dxa"/>
            <w:shd w:val="clear" w:color="auto" w:fill="1F3864"/>
          </w:tcPr>
          <w:p w14:paraId="78EF623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Modelo</w:t>
            </w:r>
          </w:p>
        </w:tc>
        <w:tc>
          <w:tcPr>
            <w:tcW w:w="1000" w:type="dxa"/>
            <w:shd w:val="clear" w:color="auto" w:fill="1F3864"/>
          </w:tcPr>
          <w:p w14:paraId="12976CE4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Recall</w:t>
            </w:r>
            <w:proofErr w:type="spellEnd"/>
          </w:p>
        </w:tc>
        <w:tc>
          <w:tcPr>
            <w:tcW w:w="1100" w:type="dxa"/>
            <w:shd w:val="clear" w:color="auto" w:fill="1F3864"/>
          </w:tcPr>
          <w:p w14:paraId="56391BA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Precisión</w:t>
            </w:r>
          </w:p>
        </w:tc>
        <w:tc>
          <w:tcPr>
            <w:tcW w:w="900" w:type="dxa"/>
            <w:shd w:val="clear" w:color="auto" w:fill="1F3864"/>
          </w:tcPr>
          <w:p w14:paraId="67E6B1A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F1</w:t>
            </w:r>
          </w:p>
        </w:tc>
        <w:tc>
          <w:tcPr>
            <w:tcW w:w="1300" w:type="dxa"/>
            <w:shd w:val="clear" w:color="auto" w:fill="1F3864"/>
          </w:tcPr>
          <w:p w14:paraId="183B3C2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Especificidad</w:t>
            </w:r>
          </w:p>
        </w:tc>
        <w:tc>
          <w:tcPr>
            <w:tcW w:w="1100" w:type="dxa"/>
            <w:shd w:val="clear" w:color="auto" w:fill="1F3864"/>
          </w:tcPr>
          <w:p w14:paraId="337F52C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ROC-AUC</w:t>
            </w:r>
          </w:p>
        </w:tc>
        <w:tc>
          <w:tcPr>
            <w:tcW w:w="1100" w:type="dxa"/>
            <w:shd w:val="clear" w:color="auto" w:fill="1F3864"/>
          </w:tcPr>
          <w:p w14:paraId="36974F0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PR-AUC</w:t>
            </w:r>
          </w:p>
        </w:tc>
      </w:tr>
      <w:tr w:rsidR="00A21BF2" w14:paraId="58FB5405" w14:textId="77777777">
        <w:trPr>
          <w:cantSplit/>
          <w:jc w:val="center"/>
        </w:trPr>
        <w:tc>
          <w:tcPr>
            <w:tcW w:w="2800" w:type="dxa"/>
          </w:tcPr>
          <w:p w14:paraId="76C17CA4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Dummy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estratificado</w:t>
            </w:r>
          </w:p>
        </w:tc>
        <w:tc>
          <w:tcPr>
            <w:tcW w:w="1000" w:type="dxa"/>
          </w:tcPr>
          <w:p w14:paraId="77D7906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0.226</w:t>
            </w:r>
          </w:p>
        </w:tc>
        <w:tc>
          <w:tcPr>
            <w:tcW w:w="1100" w:type="dxa"/>
          </w:tcPr>
          <w:p w14:paraId="23CC47F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0.227</w:t>
            </w:r>
          </w:p>
        </w:tc>
        <w:tc>
          <w:tcPr>
            <w:tcW w:w="900" w:type="dxa"/>
          </w:tcPr>
          <w:p w14:paraId="6EF29D2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0.227</w:t>
            </w:r>
          </w:p>
        </w:tc>
        <w:tc>
          <w:tcPr>
            <w:tcW w:w="1300" w:type="dxa"/>
          </w:tcPr>
          <w:p w14:paraId="6C83149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0.767</w:t>
            </w:r>
          </w:p>
        </w:tc>
        <w:tc>
          <w:tcPr>
            <w:tcW w:w="1100" w:type="dxa"/>
          </w:tcPr>
          <w:p w14:paraId="7BB9CCC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0.496</w:t>
            </w:r>
          </w:p>
        </w:tc>
        <w:tc>
          <w:tcPr>
            <w:tcW w:w="1100" w:type="dxa"/>
          </w:tcPr>
          <w:p w14:paraId="21F1EC1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0.231</w:t>
            </w:r>
          </w:p>
        </w:tc>
      </w:tr>
      <w:tr w:rsidR="00A21BF2" w14:paraId="69738745" w14:textId="77777777">
        <w:trPr>
          <w:cantSplit/>
          <w:jc w:val="center"/>
        </w:trPr>
        <w:tc>
          <w:tcPr>
            <w:tcW w:w="2800" w:type="dxa"/>
          </w:tcPr>
          <w:p w14:paraId="3CD334F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Regla dominio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Risk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= High)</w:t>
            </w:r>
          </w:p>
        </w:tc>
        <w:tc>
          <w:tcPr>
            <w:tcW w:w="1000" w:type="dxa"/>
          </w:tcPr>
          <w:p w14:paraId="0DA37F7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0.453</w:t>
            </w:r>
          </w:p>
        </w:tc>
        <w:tc>
          <w:tcPr>
            <w:tcW w:w="1100" w:type="dxa"/>
          </w:tcPr>
          <w:p w14:paraId="545E81C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0.701</w:t>
            </w:r>
          </w:p>
        </w:tc>
        <w:tc>
          <w:tcPr>
            <w:tcW w:w="900" w:type="dxa"/>
          </w:tcPr>
          <w:p w14:paraId="48A57EF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0.550</w:t>
            </w:r>
          </w:p>
        </w:tc>
        <w:tc>
          <w:tcPr>
            <w:tcW w:w="1300" w:type="dxa"/>
          </w:tcPr>
          <w:p w14:paraId="1003C09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0.941</w:t>
            </w:r>
          </w:p>
        </w:tc>
        <w:tc>
          <w:tcPr>
            <w:tcW w:w="1100" w:type="dxa"/>
          </w:tcPr>
          <w:p w14:paraId="7B01117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0.701</w:t>
            </w:r>
          </w:p>
        </w:tc>
        <w:tc>
          <w:tcPr>
            <w:tcW w:w="1100" w:type="dxa"/>
          </w:tcPr>
          <w:p w14:paraId="7306DDA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0.465</w:t>
            </w:r>
          </w:p>
        </w:tc>
      </w:tr>
      <w:tr w:rsidR="00A21BF2" w14:paraId="470C7472" w14:textId="77777777">
        <w:trPr>
          <w:cantSplit/>
          <w:jc w:val="center"/>
        </w:trPr>
        <w:tc>
          <w:tcPr>
            <w:tcW w:w="2800" w:type="dxa"/>
          </w:tcPr>
          <w:p w14:paraId="1019564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Regresión Logística</w:t>
            </w:r>
          </w:p>
        </w:tc>
        <w:tc>
          <w:tcPr>
            <w:tcW w:w="1000" w:type="dxa"/>
          </w:tcPr>
          <w:p w14:paraId="370FD76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0.615</w:t>
            </w:r>
          </w:p>
        </w:tc>
        <w:tc>
          <w:tcPr>
            <w:tcW w:w="1100" w:type="dxa"/>
          </w:tcPr>
          <w:p w14:paraId="75C8778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0.352</w:t>
            </w:r>
          </w:p>
        </w:tc>
        <w:tc>
          <w:tcPr>
            <w:tcW w:w="900" w:type="dxa"/>
          </w:tcPr>
          <w:p w14:paraId="269EEE8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0.448</w:t>
            </w:r>
          </w:p>
        </w:tc>
        <w:tc>
          <w:tcPr>
            <w:tcW w:w="1300" w:type="dxa"/>
          </w:tcPr>
          <w:p w14:paraId="3A30B0F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0.657</w:t>
            </w:r>
          </w:p>
        </w:tc>
        <w:tc>
          <w:tcPr>
            <w:tcW w:w="1100" w:type="dxa"/>
          </w:tcPr>
          <w:p w14:paraId="7902C9D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0.670</w:t>
            </w:r>
          </w:p>
        </w:tc>
        <w:tc>
          <w:tcPr>
            <w:tcW w:w="1100" w:type="dxa"/>
          </w:tcPr>
          <w:p w14:paraId="7B06984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0.435</w:t>
            </w:r>
          </w:p>
        </w:tc>
      </w:tr>
      <w:tr w:rsidR="00A21BF2" w14:paraId="7C241344" w14:textId="77777777">
        <w:trPr>
          <w:cantSplit/>
          <w:jc w:val="center"/>
        </w:trPr>
        <w:tc>
          <w:tcPr>
            <w:tcW w:w="2800" w:type="dxa"/>
          </w:tcPr>
          <w:p w14:paraId="43DC0A1D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Random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Forest</w:t>
            </w:r>
          </w:p>
        </w:tc>
        <w:tc>
          <w:tcPr>
            <w:tcW w:w="1000" w:type="dxa"/>
          </w:tcPr>
          <w:p w14:paraId="6B7CC61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0.453</w:t>
            </w:r>
          </w:p>
        </w:tc>
        <w:tc>
          <w:tcPr>
            <w:tcW w:w="1100" w:type="dxa"/>
          </w:tcPr>
          <w:p w14:paraId="2CC7314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0.700</w:t>
            </w:r>
          </w:p>
        </w:tc>
        <w:tc>
          <w:tcPr>
            <w:tcW w:w="900" w:type="dxa"/>
          </w:tcPr>
          <w:p w14:paraId="70B92B3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0.550</w:t>
            </w:r>
          </w:p>
        </w:tc>
        <w:tc>
          <w:tcPr>
            <w:tcW w:w="1300" w:type="dxa"/>
          </w:tcPr>
          <w:p w14:paraId="0ABB6A9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0.941</w:t>
            </w:r>
          </w:p>
        </w:tc>
        <w:tc>
          <w:tcPr>
            <w:tcW w:w="1100" w:type="dxa"/>
          </w:tcPr>
          <w:p w14:paraId="52F60BA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0.697</w:t>
            </w:r>
          </w:p>
        </w:tc>
        <w:tc>
          <w:tcPr>
            <w:tcW w:w="1100" w:type="dxa"/>
          </w:tcPr>
          <w:p w14:paraId="442936B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0.499</w:t>
            </w:r>
          </w:p>
        </w:tc>
      </w:tr>
      <w:tr w:rsidR="00A21BF2" w14:paraId="6BF51C0D" w14:textId="77777777">
        <w:trPr>
          <w:cantSplit/>
          <w:jc w:val="center"/>
        </w:trPr>
        <w:tc>
          <w:tcPr>
            <w:tcW w:w="2800" w:type="dxa"/>
          </w:tcPr>
          <w:p w14:paraId="0F041849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HistGradientBoosting</w:t>
            </w:r>
            <w:proofErr w:type="spellEnd"/>
          </w:p>
        </w:tc>
        <w:tc>
          <w:tcPr>
            <w:tcW w:w="1000" w:type="dxa"/>
          </w:tcPr>
          <w:p w14:paraId="2B24504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0.453</w:t>
            </w:r>
          </w:p>
        </w:tc>
        <w:tc>
          <w:tcPr>
            <w:tcW w:w="1100" w:type="dxa"/>
          </w:tcPr>
          <w:p w14:paraId="2B29AB7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0.700</w:t>
            </w:r>
          </w:p>
        </w:tc>
        <w:tc>
          <w:tcPr>
            <w:tcW w:w="900" w:type="dxa"/>
          </w:tcPr>
          <w:p w14:paraId="78A4842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0.550</w:t>
            </w:r>
          </w:p>
        </w:tc>
        <w:tc>
          <w:tcPr>
            <w:tcW w:w="1300" w:type="dxa"/>
          </w:tcPr>
          <w:p w14:paraId="5A6E5FF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0.941</w:t>
            </w:r>
          </w:p>
        </w:tc>
        <w:tc>
          <w:tcPr>
            <w:tcW w:w="1100" w:type="dxa"/>
          </w:tcPr>
          <w:p w14:paraId="5763C55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0.700</w:t>
            </w:r>
          </w:p>
        </w:tc>
        <w:tc>
          <w:tcPr>
            <w:tcW w:w="1100" w:type="dxa"/>
          </w:tcPr>
          <w:p w14:paraId="29959EA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0.500</w:t>
            </w:r>
          </w:p>
        </w:tc>
      </w:tr>
    </w:tbl>
    <w:p w14:paraId="35420A52" w14:textId="77777777" w:rsidR="00A21BF2" w:rsidRDefault="00A21BF2">
      <w:pPr>
        <w:spacing w:after="60"/>
        <w:jc w:val="both"/>
      </w:pPr>
    </w:p>
    <w:p w14:paraId="4192BF56" w14:textId="77777777" w:rsidR="00A21BF2" w:rsidRDefault="00FB227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 wp14:anchorId="531AB5DA" wp14:editId="42BF41C3">
            <wp:extent cx="5852160" cy="2529752"/>
            <wp:effectExtent l="0" t="0" r="0" b="0"/>
            <wp:docPr id="108" name="08_roc_p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08_roc_p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2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0E06" w14:textId="77777777" w:rsidR="00A21BF2" w:rsidRDefault="00FB2279">
      <w:pPr>
        <w:spacing w:before="40" w:after="160"/>
        <w:jc w:val="center"/>
      </w:pPr>
      <w:r>
        <w:rPr>
          <w:rFonts w:ascii="Arial" w:eastAsia="Arial" w:hAnsi="Arial" w:cs="Arial"/>
          <w:i/>
          <w:sz w:val="18"/>
          <w:szCs w:val="18"/>
        </w:rPr>
        <w:t>Figura 8. Curvas ROC y Precisión–</w:t>
      </w:r>
      <w:proofErr w:type="spellStart"/>
      <w:r>
        <w:rPr>
          <w:rFonts w:ascii="Arial" w:eastAsia="Arial" w:hAnsi="Arial" w:cs="Arial"/>
          <w:i/>
          <w:sz w:val="18"/>
          <w:szCs w:val="18"/>
        </w:rPr>
        <w:t>Recall</w:t>
      </w:r>
      <w:proofErr w:type="spellEnd"/>
      <w:r>
        <w:rPr>
          <w:rFonts w:ascii="Arial" w:eastAsia="Arial" w:hAnsi="Arial" w:cs="Arial"/>
          <w:i/>
          <w:sz w:val="18"/>
          <w:szCs w:val="18"/>
        </w:rPr>
        <w:t xml:space="preserve"> de los modelos en validación.</w:t>
      </w:r>
    </w:p>
    <w:p w14:paraId="16FDD679" w14:textId="77777777" w:rsidR="00A21BF2" w:rsidRDefault="00FB227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3E4AC050" wp14:editId="54C09B2C">
            <wp:extent cx="5852160" cy="2070523"/>
            <wp:effectExtent l="0" t="0" r="0" b="0"/>
            <wp:docPr id="109" name="09_matrices_confus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09_matrices_confu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7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98EB7" w14:textId="77777777" w:rsidR="00A21BF2" w:rsidRDefault="00FB2279">
      <w:pPr>
        <w:spacing w:before="40" w:after="160"/>
        <w:jc w:val="center"/>
      </w:pPr>
      <w:r>
        <w:rPr>
          <w:rFonts w:ascii="Arial" w:eastAsia="Arial" w:hAnsi="Arial" w:cs="Arial"/>
          <w:i/>
          <w:sz w:val="18"/>
          <w:szCs w:val="18"/>
        </w:rPr>
        <w:t>Figura 9. Matrices de confusión en validación (umbral 0.5).</w:t>
      </w:r>
    </w:p>
    <w:p w14:paraId="2684C325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9.3 Análisis del umbral de decisión (</w:t>
      </w:r>
      <w:proofErr w:type="spellStart"/>
      <w:r>
        <w:rPr>
          <w:b/>
          <w:bCs/>
          <w:sz w:val="32"/>
          <w:szCs w:val="32"/>
        </w:rPr>
        <w:t>HistGradientBoosting</w:t>
      </w:r>
      <w:proofErr w:type="spellEnd"/>
      <w:r>
        <w:rPr>
          <w:b/>
          <w:bCs/>
          <w:sz w:val="32"/>
          <w:szCs w:val="32"/>
        </w:rPr>
        <w:t>)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25"/>
        <w:gridCol w:w="2325"/>
        <w:gridCol w:w="2325"/>
        <w:gridCol w:w="2325"/>
      </w:tblGrid>
      <w:tr w:rsidR="00A21BF2" w14:paraId="23AC546E" w14:textId="77777777">
        <w:trPr>
          <w:cantSplit/>
          <w:tblHeader/>
          <w:jc w:val="center"/>
        </w:trPr>
        <w:tc>
          <w:tcPr>
            <w:tcW w:w="2325" w:type="dxa"/>
            <w:shd w:val="clear" w:color="auto" w:fill="1F3864"/>
          </w:tcPr>
          <w:p w14:paraId="4E3F32EA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Recall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objetivo</w:t>
            </w:r>
          </w:p>
        </w:tc>
        <w:tc>
          <w:tcPr>
            <w:tcW w:w="2325" w:type="dxa"/>
            <w:shd w:val="clear" w:color="auto" w:fill="1F3864"/>
          </w:tcPr>
          <w:p w14:paraId="699117F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Umbral</w:t>
            </w:r>
          </w:p>
        </w:tc>
        <w:tc>
          <w:tcPr>
            <w:tcW w:w="2325" w:type="dxa"/>
            <w:shd w:val="clear" w:color="auto" w:fill="1F3864"/>
          </w:tcPr>
          <w:p w14:paraId="7E52551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Precisión</w:t>
            </w:r>
          </w:p>
        </w:tc>
        <w:tc>
          <w:tcPr>
            <w:tcW w:w="2325" w:type="dxa"/>
            <w:shd w:val="clear" w:color="auto" w:fill="1F3864"/>
          </w:tcPr>
          <w:p w14:paraId="37967FA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% de pacientes marcados como positivos</w:t>
            </w:r>
          </w:p>
        </w:tc>
      </w:tr>
      <w:tr w:rsidR="00A21BF2" w14:paraId="09F4EF51" w14:textId="77777777">
        <w:trPr>
          <w:cantSplit/>
          <w:jc w:val="center"/>
        </w:trPr>
        <w:tc>
          <w:tcPr>
            <w:tcW w:w="2325" w:type="dxa"/>
          </w:tcPr>
          <w:p w14:paraId="252FD83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0.45</w:t>
            </w:r>
          </w:p>
        </w:tc>
        <w:tc>
          <w:tcPr>
            <w:tcW w:w="2325" w:type="dxa"/>
          </w:tcPr>
          <w:p w14:paraId="378701D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0.836</w:t>
            </w:r>
          </w:p>
        </w:tc>
        <w:tc>
          <w:tcPr>
            <w:tcW w:w="2325" w:type="dxa"/>
          </w:tcPr>
          <w:p w14:paraId="515F382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0.701</w:t>
            </w:r>
          </w:p>
        </w:tc>
        <w:tc>
          <w:tcPr>
            <w:tcW w:w="2325" w:type="dxa"/>
          </w:tcPr>
          <w:p w14:paraId="4CF9105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14.9 %</w:t>
            </w:r>
          </w:p>
        </w:tc>
      </w:tr>
      <w:tr w:rsidR="00A21BF2" w14:paraId="29549FCB" w14:textId="77777777">
        <w:trPr>
          <w:cantSplit/>
          <w:jc w:val="center"/>
        </w:trPr>
        <w:tc>
          <w:tcPr>
            <w:tcW w:w="2325" w:type="dxa"/>
          </w:tcPr>
          <w:p w14:paraId="148DA6C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0.60</w:t>
            </w:r>
          </w:p>
        </w:tc>
        <w:tc>
          <w:tcPr>
            <w:tcW w:w="2325" w:type="dxa"/>
          </w:tcPr>
          <w:p w14:paraId="19431A0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0.378</w:t>
            </w:r>
          </w:p>
        </w:tc>
        <w:tc>
          <w:tcPr>
            <w:tcW w:w="2325" w:type="dxa"/>
          </w:tcPr>
          <w:p w14:paraId="3E4A1ED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0.377</w:t>
            </w:r>
          </w:p>
        </w:tc>
        <w:tc>
          <w:tcPr>
            <w:tcW w:w="2325" w:type="dxa"/>
          </w:tcPr>
          <w:p w14:paraId="3C8DDC9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37.0 %</w:t>
            </w:r>
          </w:p>
        </w:tc>
      </w:tr>
      <w:tr w:rsidR="00A21BF2" w14:paraId="1B4EA63F" w14:textId="77777777">
        <w:trPr>
          <w:cantSplit/>
          <w:jc w:val="center"/>
        </w:trPr>
        <w:tc>
          <w:tcPr>
            <w:tcW w:w="2325" w:type="dxa"/>
          </w:tcPr>
          <w:p w14:paraId="2E82E9C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0.80</w:t>
            </w:r>
          </w:p>
        </w:tc>
        <w:tc>
          <w:tcPr>
            <w:tcW w:w="2325" w:type="dxa"/>
          </w:tcPr>
          <w:p w14:paraId="6F4FC95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0.368</w:t>
            </w:r>
          </w:p>
        </w:tc>
        <w:tc>
          <w:tcPr>
            <w:tcW w:w="2325" w:type="dxa"/>
          </w:tcPr>
          <w:p w14:paraId="62EB079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0.272</w:t>
            </w:r>
          </w:p>
        </w:tc>
        <w:tc>
          <w:tcPr>
            <w:tcW w:w="2325" w:type="dxa"/>
          </w:tcPr>
          <w:p w14:paraId="6D8ED35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68.4 %</w:t>
            </w:r>
          </w:p>
        </w:tc>
      </w:tr>
      <w:tr w:rsidR="00A21BF2" w14:paraId="57AE7D92" w14:textId="77777777">
        <w:trPr>
          <w:cantSplit/>
          <w:jc w:val="center"/>
        </w:trPr>
        <w:tc>
          <w:tcPr>
            <w:tcW w:w="2325" w:type="dxa"/>
          </w:tcPr>
          <w:p w14:paraId="334C794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0.90</w:t>
            </w:r>
          </w:p>
        </w:tc>
        <w:tc>
          <w:tcPr>
            <w:tcW w:w="2325" w:type="dxa"/>
          </w:tcPr>
          <w:p w14:paraId="17D49F9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0.361</w:t>
            </w:r>
          </w:p>
        </w:tc>
        <w:tc>
          <w:tcPr>
            <w:tcW w:w="2325" w:type="dxa"/>
          </w:tcPr>
          <w:p w14:paraId="52FA0ED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0.249</w:t>
            </w:r>
          </w:p>
        </w:tc>
        <w:tc>
          <w:tcPr>
            <w:tcW w:w="2325" w:type="dxa"/>
          </w:tcPr>
          <w:p w14:paraId="5E17F21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84.2 %</w:t>
            </w:r>
          </w:p>
        </w:tc>
      </w:tr>
      <w:tr w:rsidR="00A21BF2" w14:paraId="6615DFD2" w14:textId="77777777">
        <w:trPr>
          <w:cantSplit/>
          <w:jc w:val="center"/>
        </w:trPr>
        <w:tc>
          <w:tcPr>
            <w:tcW w:w="2325" w:type="dxa"/>
          </w:tcPr>
          <w:p w14:paraId="5C142C7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0.95</w:t>
            </w:r>
          </w:p>
        </w:tc>
        <w:tc>
          <w:tcPr>
            <w:tcW w:w="2325" w:type="dxa"/>
          </w:tcPr>
          <w:p w14:paraId="0CFBD18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0.351</w:t>
            </w:r>
          </w:p>
        </w:tc>
        <w:tc>
          <w:tcPr>
            <w:tcW w:w="2325" w:type="dxa"/>
          </w:tcPr>
          <w:p w14:paraId="33A266F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0.240</w:t>
            </w:r>
          </w:p>
        </w:tc>
        <w:tc>
          <w:tcPr>
            <w:tcW w:w="2325" w:type="dxa"/>
          </w:tcPr>
          <w:p w14:paraId="7854BE4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92.2 %</w:t>
            </w:r>
          </w:p>
        </w:tc>
      </w:tr>
    </w:tbl>
    <w:p w14:paraId="703876B1" w14:textId="77777777" w:rsidR="00A21BF2" w:rsidRDefault="00A21BF2">
      <w:pPr>
        <w:spacing w:after="60"/>
        <w:jc w:val="both"/>
      </w:pPr>
    </w:p>
    <w:p w14:paraId="412E6AB9" w14:textId="77777777" w:rsidR="00A21BF2" w:rsidRDefault="00FB227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 wp14:anchorId="7C0DC637" wp14:editId="377A2703">
            <wp:extent cx="4754880" cy="2598295"/>
            <wp:effectExtent l="0" t="0" r="0" b="0"/>
            <wp:docPr id="110" name="10_coeficientes_l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10_coeficientes_l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9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10FF4" w14:textId="77777777" w:rsidR="00A21BF2" w:rsidRDefault="00FB2279">
      <w:pPr>
        <w:spacing w:before="40" w:after="160"/>
        <w:jc w:val="center"/>
      </w:pPr>
      <w:r>
        <w:rPr>
          <w:rFonts w:ascii="Arial" w:eastAsia="Arial" w:hAnsi="Arial" w:cs="Arial"/>
          <w:i/>
          <w:sz w:val="18"/>
          <w:szCs w:val="18"/>
        </w:rPr>
        <w:t>Figura 10. Coeficientes de mayor magnitud de la Regresión Logística.</w:t>
      </w:r>
    </w:p>
    <w:p w14:paraId="058DC7D4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9.4 Interpretación de los resultados</w:t>
      </w:r>
    </w:p>
    <w:p w14:paraId="2B37CEBB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Lo que muestran los datos:</w:t>
      </w:r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HistGradientBoosting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sz w:val="24"/>
          <w:szCs w:val="24"/>
        </w:rPr>
        <w:t>Random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Forest alcanzan ROC-AUC ≈ 0.70 y PR-AUC ≈ 0.50, frente a 0.50 y 0.23 del </w:t>
      </w:r>
      <w:proofErr w:type="spellStart"/>
      <w:r>
        <w:rPr>
          <w:rFonts w:ascii="Arial" w:eastAsia="Arial" w:hAnsi="Arial" w:cs="Arial"/>
          <w:sz w:val="24"/>
          <w:szCs w:val="24"/>
        </w:rPr>
        <w:t>Dummy</w:t>
      </w:r>
      <w:proofErr w:type="spellEnd"/>
      <w:r>
        <w:rPr>
          <w:rFonts w:ascii="Arial" w:eastAsia="Arial" w:hAnsi="Arial" w:cs="Arial"/>
          <w:sz w:val="24"/>
          <w:szCs w:val="24"/>
        </w:rPr>
        <w:t>. Con umbral 0.</w:t>
      </w:r>
      <w:r>
        <w:rPr>
          <w:rFonts w:ascii="Arial" w:eastAsia="Arial" w:hAnsi="Arial" w:cs="Arial"/>
          <w:sz w:val="24"/>
          <w:szCs w:val="24"/>
        </w:rPr>
        <w:t xml:space="preserve">5 detectan </w:t>
      </w:r>
      <w:r>
        <w:rPr>
          <w:rFonts w:ascii="Arial" w:eastAsia="Arial" w:hAnsi="Arial" w:cs="Arial"/>
          <w:sz w:val="24"/>
          <w:szCs w:val="24"/>
        </w:rPr>
        <w:lastRenderedPageBreak/>
        <w:t xml:space="preserve">el 45 % de los malignos con 70 % de precisión y 94 % de especificidad. La Regresión Logística logra más </w:t>
      </w:r>
      <w:proofErr w:type="spellStart"/>
      <w:r>
        <w:rPr>
          <w:rFonts w:ascii="Arial" w:eastAsia="Arial" w:hAnsi="Arial" w:cs="Arial"/>
          <w:sz w:val="24"/>
          <w:szCs w:val="24"/>
        </w:rPr>
        <w:t>recall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(0.62) pero con precisión de solo 0.35. Las predicciones de </w:t>
      </w:r>
      <w:proofErr w:type="spellStart"/>
      <w:r>
        <w:rPr>
          <w:rFonts w:ascii="Arial" w:eastAsia="Arial" w:hAnsi="Arial" w:cs="Arial"/>
          <w:sz w:val="24"/>
          <w:szCs w:val="24"/>
        </w:rPr>
        <w:t>HistGradientBoosting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coinciden al 100 % con la regla «</w:t>
      </w:r>
      <w:proofErr w:type="spellStart"/>
      <w:r>
        <w:rPr>
          <w:rFonts w:ascii="Arial" w:eastAsia="Arial" w:hAnsi="Arial" w:cs="Arial"/>
          <w:sz w:val="24"/>
          <w:szCs w:val="24"/>
        </w:rPr>
        <w:t>Risk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= High»; solo m</w:t>
      </w:r>
      <w:r>
        <w:rPr>
          <w:rFonts w:ascii="Arial" w:eastAsia="Arial" w:hAnsi="Arial" w:cs="Arial"/>
          <w:sz w:val="24"/>
          <w:szCs w:val="24"/>
        </w:rPr>
        <w:t xml:space="preserve">ejoran levemente el ordenamiento (PR-AUC 0.500 frente a 0.465). Para alcanzar un </w:t>
      </w:r>
      <w:proofErr w:type="spellStart"/>
      <w:r>
        <w:rPr>
          <w:rFonts w:ascii="Arial" w:eastAsia="Arial" w:hAnsi="Arial" w:cs="Arial"/>
          <w:sz w:val="24"/>
          <w:szCs w:val="24"/>
        </w:rPr>
        <w:t>recall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 90 % la precisión cae a 0.25 (casi igual a la prevalencia) y habría que marcar como positivos al 84 % de los pacientes.</w:t>
      </w:r>
    </w:p>
    <w:p w14:paraId="1702B70D" w14:textId="77777777" w:rsidR="00A21BF2" w:rsidRDefault="00FB2279">
      <w:pPr>
        <w:spacing w:before="120" w:after="120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Interpretación del grupo:</w:t>
      </w:r>
      <w:r>
        <w:rPr>
          <w:rFonts w:ascii="Arial" w:eastAsia="Arial" w:hAnsi="Arial" w:cs="Arial"/>
          <w:sz w:val="24"/>
          <w:szCs w:val="24"/>
        </w:rPr>
        <w:t xml:space="preserve"> los modelos aprenden señal real (muy por encima del azar), pero esa señal se limita a los factores identificados en el EDA, lo que confirman los coeficientes de la Regresión Logística (antecedente familiar, deficiencia de yodo, ra</w:t>
      </w:r>
      <w:r>
        <w:rPr>
          <w:rFonts w:ascii="Arial" w:eastAsia="Arial" w:hAnsi="Arial" w:cs="Arial"/>
          <w:sz w:val="24"/>
          <w:szCs w:val="24"/>
        </w:rPr>
        <w:t xml:space="preserve">diación, India y etnia asiática). El techo de desempeño lo impone el </w:t>
      </w:r>
      <w:proofErr w:type="spellStart"/>
      <w:r>
        <w:rPr>
          <w:rFonts w:ascii="Arial" w:eastAsia="Arial" w:hAnsi="Arial" w:cs="Arial"/>
          <w:sz w:val="24"/>
          <w:szCs w:val="24"/>
        </w:rPr>
        <w:t>dataset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y no el algoritmo. El criterio planteado inicialmente (</w:t>
      </w:r>
      <w:proofErr w:type="spellStart"/>
      <w:r>
        <w:rPr>
          <w:rFonts w:ascii="Arial" w:eastAsia="Arial" w:hAnsi="Arial" w:cs="Arial"/>
          <w:sz w:val="24"/>
          <w:szCs w:val="24"/>
        </w:rPr>
        <w:t>recall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mayor a 90 %) no es alcanzable con una precisión útil, por lo que se reformula como «maximizar el </w:t>
      </w:r>
      <w:proofErr w:type="spellStart"/>
      <w:r>
        <w:rPr>
          <w:rFonts w:ascii="Arial" w:eastAsia="Arial" w:hAnsi="Arial" w:cs="Arial"/>
          <w:sz w:val="24"/>
          <w:szCs w:val="24"/>
        </w:rPr>
        <w:t>recall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sz w:val="24"/>
          <w:szCs w:val="24"/>
        </w:rPr>
        <w:t>Malignant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manteniendo una precisión mínima aceptable», con el umbral definido en el TF1 a partir de un costo explícito de errores. Como hipótesis por verificar, el patrón sugiere que el generador asignó primero el nivel de riesgo a partir de los factores y luego el</w:t>
      </w:r>
      <w:r>
        <w:rPr>
          <w:rFonts w:ascii="Arial" w:eastAsia="Arial" w:hAnsi="Arial" w:cs="Arial"/>
          <w:sz w:val="24"/>
          <w:szCs w:val="24"/>
        </w:rPr>
        <w:t xml:space="preserve"> diagnóstico a partir del riesgo; si es así, ningún modelo podría superar sustancialmente este techo.</w:t>
      </w:r>
    </w:p>
    <w:p w14:paraId="5E351C67" w14:textId="77777777" w:rsidR="00A21BF2" w:rsidRDefault="00FB2279">
      <w:pPr>
        <w:spacing w:before="240" w:after="240"/>
      </w:pPr>
      <w:r>
        <w:br w:type="page"/>
      </w:r>
      <w:r>
        <w:rPr>
          <w:b/>
          <w:bCs/>
          <w:sz w:val="36"/>
          <w:szCs w:val="36"/>
        </w:rPr>
        <w:lastRenderedPageBreak/>
        <w:t>10. Estado del Proyecto y Plan hacia el TF1</w:t>
      </w:r>
    </w:p>
    <w:p w14:paraId="368F7B7A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10.1 Principales hallazgos</w:t>
      </w:r>
    </w:p>
    <w:p w14:paraId="3980CBEA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>•  El diagnóstico está desbalanceado (23.3 % malignos).</w:t>
      </w:r>
    </w:p>
    <w:p w14:paraId="1D1BAC9F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>•  Solo el antecedente fam</w:t>
      </w:r>
      <w:r>
        <w:rPr>
          <w:rFonts w:ascii="Arial" w:eastAsia="Arial" w:hAnsi="Arial" w:cs="Arial"/>
          <w:sz w:val="24"/>
          <w:szCs w:val="24"/>
        </w:rPr>
        <w:t>iliar, la radiación, la deficiencia de yodo, India y la etnia asiática se asocian con malignidad; hormonas, nódulo, edad, sexo, tabaquismo, obesidad y diabetes no aportan.</w:t>
      </w:r>
    </w:p>
    <w:p w14:paraId="49BA16B8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El </w:t>
      </w:r>
      <w:proofErr w:type="spellStart"/>
      <w:r>
        <w:rPr>
          <w:rFonts w:ascii="Arial" w:eastAsia="Arial" w:hAnsi="Arial" w:cs="Arial"/>
          <w:sz w:val="24"/>
          <w:szCs w:val="24"/>
        </w:rPr>
        <w:t>dataset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muestra señales claras de ser sintético.</w:t>
      </w:r>
    </w:p>
    <w:p w14:paraId="03066B36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proofErr w:type="spellStart"/>
      <w:r>
        <w:rPr>
          <w:rFonts w:ascii="Arial" w:eastAsia="Arial" w:hAnsi="Arial" w:cs="Arial"/>
          <w:sz w:val="24"/>
          <w:szCs w:val="24"/>
        </w:rPr>
        <w:t>Thyroid_Cancer_Risk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es un </w:t>
      </w:r>
      <w:r>
        <w:rPr>
          <w:rFonts w:ascii="Arial" w:eastAsia="Arial" w:hAnsi="Arial" w:cs="Arial"/>
          <w:sz w:val="24"/>
          <w:szCs w:val="24"/>
        </w:rPr>
        <w:t xml:space="preserve">puntaje redundante y con posible fuga: se excluyó y se usó como </w:t>
      </w:r>
      <w:proofErr w:type="spellStart"/>
      <w:r>
        <w:rPr>
          <w:rFonts w:ascii="Arial" w:eastAsia="Arial" w:hAnsi="Arial" w:cs="Arial"/>
          <w:sz w:val="24"/>
          <w:szCs w:val="24"/>
        </w:rPr>
        <w:t>baseline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del dominio.</w:t>
      </w:r>
    </w:p>
    <w:p w14:paraId="284BAC58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El mejor modelo preliminar es </w:t>
      </w:r>
      <w:proofErr w:type="spellStart"/>
      <w:r>
        <w:rPr>
          <w:rFonts w:ascii="Arial" w:eastAsia="Arial" w:hAnsi="Arial" w:cs="Arial"/>
          <w:sz w:val="24"/>
          <w:szCs w:val="24"/>
        </w:rPr>
        <w:t>HistGradientBoosting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(ROC-AUC 0.700, PR-AUC 0.500), que iguala a la regla del dominio sin usar esa variable.</w:t>
      </w:r>
    </w:p>
    <w:p w14:paraId="7A1F6883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10.2 Problemas aún no resueltos</w:t>
      </w:r>
    </w:p>
    <w:p w14:paraId="21F95171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>•  Definir el umbral de decisión según un costo explícito de falsos negativos frente a falsos positivos.</w:t>
      </w:r>
    </w:p>
    <w:p w14:paraId="74B62C99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>•  Verificar si existen interacciones entre factores que los modelos aún no aprovechan.</w:t>
      </w:r>
    </w:p>
    <w:p w14:paraId="0BD9CD8A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Confirmar la licencia del </w:t>
      </w:r>
      <w:proofErr w:type="spellStart"/>
      <w:r>
        <w:rPr>
          <w:rFonts w:ascii="Arial" w:eastAsia="Arial" w:hAnsi="Arial" w:cs="Arial"/>
          <w:sz w:val="24"/>
          <w:szCs w:val="24"/>
        </w:rPr>
        <w:t>da</w:t>
      </w:r>
      <w:r>
        <w:rPr>
          <w:rFonts w:ascii="Arial" w:eastAsia="Arial" w:hAnsi="Arial" w:cs="Arial"/>
          <w:sz w:val="24"/>
          <w:szCs w:val="24"/>
        </w:rPr>
        <w:t>taset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con su autor (no está declarada en Kaggle).</w:t>
      </w:r>
    </w:p>
    <w:p w14:paraId="3DAEE699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10.3 Limitaciones identificadas</w:t>
      </w:r>
    </w:p>
    <w:p w14:paraId="79D14FA6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>•  Validez externa muy limitada: los resultados no se pueden extrapolar a pacientes reales.</w:t>
      </w:r>
    </w:p>
    <w:p w14:paraId="6DE98BDD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Se desconoce el proceso de generación de Diagnosis y de </w:t>
      </w:r>
      <w:proofErr w:type="spellStart"/>
      <w:r>
        <w:rPr>
          <w:rFonts w:ascii="Arial" w:eastAsia="Arial" w:hAnsi="Arial" w:cs="Arial"/>
          <w:sz w:val="24"/>
          <w:szCs w:val="24"/>
        </w:rPr>
        <w:t>Thyroid_Cancer_Risk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33A7812A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</w:t>
      </w:r>
      <w:r>
        <w:rPr>
          <w:rFonts w:ascii="Arial" w:eastAsia="Arial" w:hAnsi="Arial" w:cs="Arial"/>
          <w:sz w:val="24"/>
          <w:szCs w:val="24"/>
        </w:rPr>
        <w:t xml:space="preserve"> Faltan variables clínicas determinantes (ecografía TI-RADS, citología Bethesda).</w:t>
      </w:r>
    </w:p>
    <w:p w14:paraId="3C13070B" w14:textId="77777777" w:rsidR="00A21BF2" w:rsidRDefault="00FB2279">
      <w:pPr>
        <w:keepNext/>
        <w:spacing w:before="240" w:after="160"/>
      </w:pPr>
      <w:r>
        <w:rPr>
          <w:b/>
          <w:bCs/>
          <w:sz w:val="32"/>
          <w:szCs w:val="32"/>
        </w:rPr>
        <w:t>10.4 Mejoras y actividades previstas para el TF1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547"/>
        <w:gridCol w:w="5471"/>
        <w:gridCol w:w="2188"/>
        <w:gridCol w:w="1094"/>
      </w:tblGrid>
      <w:tr w:rsidR="00A21BF2" w14:paraId="60DA81F9" w14:textId="77777777">
        <w:trPr>
          <w:cantSplit/>
          <w:tblHeader/>
          <w:jc w:val="center"/>
        </w:trPr>
        <w:tc>
          <w:tcPr>
            <w:tcW w:w="547" w:type="dxa"/>
            <w:shd w:val="clear" w:color="auto" w:fill="1F3864"/>
          </w:tcPr>
          <w:p w14:paraId="4102023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471" w:type="dxa"/>
            <w:shd w:val="clear" w:color="auto" w:fill="1F3864"/>
          </w:tcPr>
          <w:p w14:paraId="051BF44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</w:t>
            </w:r>
          </w:p>
        </w:tc>
        <w:tc>
          <w:tcPr>
            <w:tcW w:w="2188" w:type="dxa"/>
            <w:shd w:val="clear" w:color="auto" w:fill="1F3864"/>
          </w:tcPr>
          <w:p w14:paraId="1C777B7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Herramienta</w:t>
            </w:r>
          </w:p>
        </w:tc>
        <w:tc>
          <w:tcPr>
            <w:tcW w:w="1094" w:type="dxa"/>
            <w:shd w:val="clear" w:color="auto" w:fill="1F3864"/>
          </w:tcPr>
          <w:p w14:paraId="2EC89A7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Semana</w:t>
            </w:r>
          </w:p>
        </w:tc>
      </w:tr>
      <w:tr w:rsidR="00A21BF2" w14:paraId="4481D47F" w14:textId="77777777">
        <w:trPr>
          <w:cantSplit/>
          <w:jc w:val="center"/>
        </w:trPr>
        <w:tc>
          <w:tcPr>
            <w:tcW w:w="547" w:type="dxa"/>
          </w:tcPr>
          <w:p w14:paraId="39B916E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5471" w:type="dxa"/>
          </w:tcPr>
          <w:p w14:paraId="0CAFA56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Ajuste de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hiperparámetros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con validación cruzada</w:t>
            </w:r>
          </w:p>
        </w:tc>
        <w:tc>
          <w:tcPr>
            <w:tcW w:w="2188" w:type="dxa"/>
          </w:tcPr>
          <w:p w14:paraId="49686CCE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Optuna</w:t>
            </w:r>
            <w:proofErr w:type="spellEnd"/>
          </w:p>
        </w:tc>
        <w:tc>
          <w:tcPr>
            <w:tcW w:w="1094" w:type="dxa"/>
          </w:tcPr>
          <w:p w14:paraId="4622EA4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8–9</w:t>
            </w:r>
          </w:p>
        </w:tc>
      </w:tr>
      <w:tr w:rsidR="00A21BF2" w14:paraId="11A63623" w14:textId="77777777">
        <w:trPr>
          <w:cantSplit/>
          <w:jc w:val="center"/>
        </w:trPr>
        <w:tc>
          <w:tcPr>
            <w:tcW w:w="547" w:type="dxa"/>
          </w:tcPr>
          <w:p w14:paraId="43C1E2E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2</w:t>
            </w:r>
          </w:p>
        </w:tc>
        <w:tc>
          <w:tcPr>
            <w:tcW w:w="5471" w:type="dxa"/>
          </w:tcPr>
          <w:p w14:paraId="002A9EC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Registro de experimentos (configuración → métricas)</w:t>
            </w:r>
          </w:p>
        </w:tc>
        <w:tc>
          <w:tcPr>
            <w:tcW w:w="2188" w:type="dxa"/>
          </w:tcPr>
          <w:p w14:paraId="7E1ABAA4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MLflow</w:t>
            </w:r>
            <w:proofErr w:type="spellEnd"/>
          </w:p>
        </w:tc>
        <w:tc>
          <w:tcPr>
            <w:tcW w:w="1094" w:type="dxa"/>
          </w:tcPr>
          <w:p w14:paraId="6277312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8–9</w:t>
            </w:r>
          </w:p>
        </w:tc>
      </w:tr>
      <w:tr w:rsidR="00A21BF2" w14:paraId="427AC133" w14:textId="77777777">
        <w:trPr>
          <w:cantSplit/>
          <w:jc w:val="center"/>
        </w:trPr>
        <w:tc>
          <w:tcPr>
            <w:tcW w:w="547" w:type="dxa"/>
          </w:tcPr>
          <w:p w14:paraId="3077855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3</w:t>
            </w:r>
          </w:p>
        </w:tc>
        <w:tc>
          <w:tcPr>
            <w:tcW w:w="5471" w:type="dxa"/>
          </w:tcPr>
          <w:p w14:paraId="7442AC3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Selección de umbral por costo y calibración de probabilidades</w:t>
            </w:r>
          </w:p>
        </w:tc>
        <w:tc>
          <w:tcPr>
            <w:tcW w:w="2188" w:type="dxa"/>
          </w:tcPr>
          <w:p w14:paraId="3CD5F633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scikit-learn</w:t>
            </w:r>
            <w:proofErr w:type="spellEnd"/>
          </w:p>
        </w:tc>
        <w:tc>
          <w:tcPr>
            <w:tcW w:w="1094" w:type="dxa"/>
          </w:tcPr>
          <w:p w14:paraId="7752E72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10</w:t>
            </w:r>
          </w:p>
        </w:tc>
      </w:tr>
      <w:tr w:rsidR="00A21BF2" w14:paraId="30478630" w14:textId="77777777">
        <w:trPr>
          <w:cantSplit/>
          <w:jc w:val="center"/>
        </w:trPr>
        <w:tc>
          <w:tcPr>
            <w:tcW w:w="547" w:type="dxa"/>
          </w:tcPr>
          <w:p w14:paraId="7A52891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4</w:t>
            </w:r>
          </w:p>
        </w:tc>
        <w:tc>
          <w:tcPr>
            <w:tcW w:w="5471" w:type="dxa"/>
          </w:tcPr>
          <w:p w14:paraId="4B61D66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Interpretabilidad global y local</w:t>
            </w:r>
          </w:p>
        </w:tc>
        <w:tc>
          <w:tcPr>
            <w:tcW w:w="2188" w:type="dxa"/>
          </w:tcPr>
          <w:p w14:paraId="036A028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SHAP</w:t>
            </w:r>
          </w:p>
        </w:tc>
        <w:tc>
          <w:tcPr>
            <w:tcW w:w="1094" w:type="dxa"/>
          </w:tcPr>
          <w:p w14:paraId="14EF02B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11</w:t>
            </w:r>
          </w:p>
        </w:tc>
      </w:tr>
      <w:tr w:rsidR="00A21BF2" w14:paraId="7EDE776B" w14:textId="77777777">
        <w:trPr>
          <w:cantSplit/>
          <w:jc w:val="center"/>
        </w:trPr>
        <w:tc>
          <w:tcPr>
            <w:tcW w:w="547" w:type="dxa"/>
          </w:tcPr>
          <w:p w14:paraId="42F3AE43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5</w:t>
            </w:r>
          </w:p>
        </w:tc>
        <w:tc>
          <w:tcPr>
            <w:tcW w:w="5471" w:type="dxa"/>
          </w:tcPr>
          <w:p w14:paraId="19711D7A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Análisis de errores (falsos negativos con perfil de riesgo bajo)</w:t>
            </w:r>
          </w:p>
        </w:tc>
        <w:tc>
          <w:tcPr>
            <w:tcW w:w="2188" w:type="dxa"/>
          </w:tcPr>
          <w:p w14:paraId="2384A2B2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pandas, SHAP</w:t>
            </w:r>
          </w:p>
        </w:tc>
        <w:tc>
          <w:tcPr>
            <w:tcW w:w="1094" w:type="dxa"/>
          </w:tcPr>
          <w:p w14:paraId="3262442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11–12</w:t>
            </w:r>
          </w:p>
        </w:tc>
      </w:tr>
      <w:tr w:rsidR="00A21BF2" w14:paraId="3B84DABD" w14:textId="77777777">
        <w:trPr>
          <w:cantSplit/>
          <w:jc w:val="center"/>
        </w:trPr>
        <w:tc>
          <w:tcPr>
            <w:tcW w:w="547" w:type="dxa"/>
          </w:tcPr>
          <w:p w14:paraId="3798347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</w:p>
        </w:tc>
        <w:tc>
          <w:tcPr>
            <w:tcW w:w="5471" w:type="dxa"/>
          </w:tcPr>
          <w:p w14:paraId="6522798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Técnica adicional justificada: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clustering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de perfiles de riesgo</w:t>
            </w:r>
          </w:p>
        </w:tc>
        <w:tc>
          <w:tcPr>
            <w:tcW w:w="2188" w:type="dxa"/>
          </w:tcPr>
          <w:p w14:paraId="769DDD6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K-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Means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/ UMAP</w:t>
            </w:r>
          </w:p>
        </w:tc>
        <w:tc>
          <w:tcPr>
            <w:tcW w:w="1094" w:type="dxa"/>
          </w:tcPr>
          <w:p w14:paraId="2143A7B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12</w:t>
            </w:r>
          </w:p>
        </w:tc>
      </w:tr>
      <w:tr w:rsidR="00A21BF2" w14:paraId="1E6749D1" w14:textId="77777777">
        <w:trPr>
          <w:cantSplit/>
          <w:jc w:val="center"/>
        </w:trPr>
        <w:tc>
          <w:tcPr>
            <w:tcW w:w="547" w:type="dxa"/>
          </w:tcPr>
          <w:p w14:paraId="72C8494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7</w:t>
            </w:r>
          </w:p>
        </w:tc>
        <w:tc>
          <w:tcPr>
            <w:tcW w:w="5471" w:type="dxa"/>
          </w:tcPr>
          <w:p w14:paraId="08B0AAC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Evaluación final única sobre test</w:t>
            </w:r>
          </w:p>
        </w:tc>
        <w:tc>
          <w:tcPr>
            <w:tcW w:w="2188" w:type="dxa"/>
          </w:tcPr>
          <w:p w14:paraId="7C943063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scikit-learn</w:t>
            </w:r>
            <w:proofErr w:type="spellEnd"/>
          </w:p>
        </w:tc>
        <w:tc>
          <w:tcPr>
            <w:tcW w:w="1094" w:type="dxa"/>
          </w:tcPr>
          <w:p w14:paraId="5C114A96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13</w:t>
            </w:r>
          </w:p>
        </w:tc>
      </w:tr>
      <w:tr w:rsidR="00A21BF2" w14:paraId="47B80B43" w14:textId="77777777">
        <w:trPr>
          <w:cantSplit/>
          <w:jc w:val="center"/>
        </w:trPr>
        <w:tc>
          <w:tcPr>
            <w:tcW w:w="547" w:type="dxa"/>
          </w:tcPr>
          <w:p w14:paraId="7B878AE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8</w:t>
            </w:r>
          </w:p>
        </w:tc>
        <w:tc>
          <w:tcPr>
            <w:tcW w:w="5471" w:type="dxa"/>
          </w:tcPr>
          <w:p w14:paraId="19E9823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Demo de uso (formulario → probabilidad de malignidad)</w:t>
            </w:r>
          </w:p>
        </w:tc>
        <w:tc>
          <w:tcPr>
            <w:tcW w:w="2188" w:type="dxa"/>
          </w:tcPr>
          <w:p w14:paraId="2E34280E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Streamlit</w:t>
            </w:r>
            <w:proofErr w:type="spellEnd"/>
          </w:p>
        </w:tc>
        <w:tc>
          <w:tcPr>
            <w:tcW w:w="1094" w:type="dxa"/>
          </w:tcPr>
          <w:p w14:paraId="21F178E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13–14</w:t>
            </w:r>
          </w:p>
        </w:tc>
      </w:tr>
      <w:tr w:rsidR="00A21BF2" w14:paraId="5C7FBF1C" w14:textId="77777777">
        <w:trPr>
          <w:cantSplit/>
          <w:jc w:val="center"/>
        </w:trPr>
        <w:tc>
          <w:tcPr>
            <w:tcW w:w="547" w:type="dxa"/>
          </w:tcPr>
          <w:p w14:paraId="7A94DEE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9</w:t>
            </w:r>
          </w:p>
        </w:tc>
        <w:tc>
          <w:tcPr>
            <w:tcW w:w="5471" w:type="dxa"/>
          </w:tcPr>
          <w:p w14:paraId="3C3854C1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README final, documentación y presentación</w:t>
            </w:r>
          </w:p>
        </w:tc>
        <w:tc>
          <w:tcPr>
            <w:tcW w:w="2188" w:type="dxa"/>
          </w:tcPr>
          <w:p w14:paraId="58184E4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—</w:t>
            </w:r>
          </w:p>
        </w:tc>
        <w:tc>
          <w:tcPr>
            <w:tcW w:w="1094" w:type="dxa"/>
          </w:tcPr>
          <w:p w14:paraId="37809FD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14–15</w:t>
            </w:r>
          </w:p>
        </w:tc>
      </w:tr>
    </w:tbl>
    <w:p w14:paraId="2BD37921" w14:textId="77777777" w:rsidR="00A21BF2" w:rsidRDefault="00A21BF2">
      <w:pPr>
        <w:spacing w:after="60"/>
        <w:jc w:val="both"/>
      </w:pPr>
    </w:p>
    <w:p w14:paraId="40C00A08" w14:textId="77777777" w:rsidR="00A21BF2" w:rsidRDefault="00FB2279">
      <w:pPr>
        <w:spacing w:before="240" w:after="240"/>
      </w:pPr>
      <w:r>
        <w:br w:type="page"/>
      </w:r>
      <w:r>
        <w:rPr>
          <w:b/>
          <w:bCs/>
          <w:sz w:val="36"/>
          <w:szCs w:val="36"/>
        </w:rPr>
        <w:lastRenderedPageBreak/>
        <w:t>Glosario</w:t>
      </w:r>
    </w:p>
    <w:p w14:paraId="224DB7F7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Baseline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modelo o regla simple que sirve como referencia mínima de desempeño.</w:t>
      </w:r>
    </w:p>
    <w:p w14:paraId="1A973727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Data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leakage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(fuga de información):</w:t>
      </w:r>
      <w:r>
        <w:rPr>
          <w:rFonts w:ascii="Arial" w:eastAsia="Arial" w:hAnsi="Arial" w:cs="Arial"/>
          <w:sz w:val="24"/>
          <w:szCs w:val="24"/>
        </w:rPr>
        <w:t xml:space="preserve"> uso, durante el entrenamiento, de información que no estaría disponible al momento de predecir.</w:t>
      </w:r>
    </w:p>
    <w:p w14:paraId="362BA464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Estratificación:</w:t>
      </w:r>
      <w:r>
        <w:rPr>
          <w:rFonts w:ascii="Arial" w:eastAsia="Arial" w:hAnsi="Arial" w:cs="Arial"/>
          <w:sz w:val="24"/>
          <w:szCs w:val="24"/>
        </w:rPr>
        <w:t xml:space="preserve"> separación de datos que mantiene la proporción de clases en cada subconjunto.</w:t>
      </w:r>
    </w:p>
    <w:p w14:paraId="434E6645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One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-Hot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Encoding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>:</w:t>
      </w:r>
      <w:r>
        <w:rPr>
          <w:rFonts w:ascii="Arial" w:eastAsia="Arial" w:hAnsi="Arial" w:cs="Arial"/>
          <w:sz w:val="24"/>
          <w:szCs w:val="24"/>
        </w:rPr>
        <w:t xml:space="preserve"> representación de una variable categóric</w:t>
      </w:r>
      <w:r>
        <w:rPr>
          <w:rFonts w:ascii="Arial" w:eastAsia="Arial" w:hAnsi="Arial" w:cs="Arial"/>
          <w:sz w:val="24"/>
          <w:szCs w:val="24"/>
        </w:rPr>
        <w:t>a mediante columnas binarias.</w:t>
      </w:r>
    </w:p>
    <w:p w14:paraId="31B64C05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Pipeline:</w:t>
      </w:r>
      <w:r>
        <w:rPr>
          <w:rFonts w:ascii="Arial" w:eastAsia="Arial" w:hAnsi="Arial" w:cs="Arial"/>
          <w:sz w:val="24"/>
          <w:szCs w:val="24"/>
        </w:rPr>
        <w:t xml:space="preserve"> secuencia encadenada de transformaciones y modelo que se ajusta y aplica como una sola unidad.</w:t>
      </w:r>
    </w:p>
    <w:p w14:paraId="398F2552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Recall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(sensibilidad):</w:t>
      </w:r>
      <w:r>
        <w:rPr>
          <w:rFonts w:ascii="Arial" w:eastAsia="Arial" w:hAnsi="Arial" w:cs="Arial"/>
          <w:sz w:val="24"/>
          <w:szCs w:val="24"/>
        </w:rPr>
        <w:t xml:space="preserve"> proporción de casos positivos reales que el modelo detecta.</w:t>
      </w:r>
    </w:p>
    <w:p w14:paraId="43979BE5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Precisión:</w:t>
      </w:r>
      <w:r>
        <w:rPr>
          <w:rFonts w:ascii="Arial" w:eastAsia="Arial" w:hAnsi="Arial" w:cs="Arial"/>
          <w:sz w:val="24"/>
          <w:szCs w:val="24"/>
        </w:rPr>
        <w:t xml:space="preserve"> proporción de predicciones positivas que son correctas.</w:t>
      </w:r>
    </w:p>
    <w:p w14:paraId="2A44899E" w14:textId="77777777" w:rsidR="00A21BF2" w:rsidRDefault="00FB2279">
      <w:pPr>
        <w:spacing w:before="40" w:after="40"/>
        <w:ind w:left="567" w:hanging="283"/>
        <w:jc w:val="both"/>
      </w:pPr>
      <w:r>
        <w:rPr>
          <w:rFonts w:ascii="Arial" w:eastAsia="Arial" w:hAnsi="Arial" w:cs="Arial"/>
          <w:sz w:val="24"/>
          <w:szCs w:val="24"/>
        </w:rPr>
        <w:t xml:space="preserve">•  </w:t>
      </w:r>
      <w:r>
        <w:rPr>
          <w:rFonts w:ascii="Arial" w:eastAsia="Arial" w:hAnsi="Arial" w:cs="Arial"/>
          <w:b/>
          <w:bCs/>
          <w:sz w:val="24"/>
          <w:szCs w:val="24"/>
        </w:rPr>
        <w:t>Especificidad:</w:t>
      </w:r>
      <w:r>
        <w:rPr>
          <w:rFonts w:ascii="Arial" w:eastAsia="Arial" w:hAnsi="Arial" w:cs="Arial"/>
          <w:sz w:val="24"/>
          <w:szCs w:val="24"/>
        </w:rPr>
        <w:t xml:space="preserve"> proporción de casos negativos reales correctamente identificados.</w:t>
      </w:r>
    </w:p>
    <w:p w14:paraId="22603BAE" w14:textId="77777777" w:rsidR="00A21BF2" w:rsidRDefault="00FB2279">
      <w:pPr>
        <w:spacing w:before="240" w:after="240"/>
      </w:pPr>
      <w:r>
        <w:rPr>
          <w:b/>
          <w:bCs/>
          <w:sz w:val="36"/>
          <w:szCs w:val="36"/>
        </w:rPr>
        <w:t>Siglario</w:t>
      </w:r>
    </w:p>
    <w:tbl>
      <w:tblPr>
        <w:tblStyle w:val="TableNormal"/>
        <w:tblW w:w="9300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067"/>
        <w:gridCol w:w="7233"/>
      </w:tblGrid>
      <w:tr w:rsidR="00A21BF2" w14:paraId="170423FC" w14:textId="77777777">
        <w:trPr>
          <w:cantSplit/>
          <w:tblHeader/>
          <w:jc w:val="center"/>
        </w:trPr>
        <w:tc>
          <w:tcPr>
            <w:tcW w:w="2067" w:type="dxa"/>
            <w:shd w:val="clear" w:color="auto" w:fill="1F3864"/>
          </w:tcPr>
          <w:p w14:paraId="60DE4E69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7233" w:type="dxa"/>
            <w:shd w:val="clear" w:color="auto" w:fill="1F3864"/>
          </w:tcPr>
          <w:p w14:paraId="4B7307E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</w:tr>
      <w:tr w:rsidR="00A21BF2" w14:paraId="3BF32811" w14:textId="77777777">
        <w:trPr>
          <w:cantSplit/>
          <w:jc w:val="center"/>
        </w:trPr>
        <w:tc>
          <w:tcPr>
            <w:tcW w:w="2067" w:type="dxa"/>
          </w:tcPr>
          <w:p w14:paraId="14E52AF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AUC</w:t>
            </w:r>
          </w:p>
        </w:tc>
        <w:tc>
          <w:tcPr>
            <w:tcW w:w="7233" w:type="dxa"/>
          </w:tcPr>
          <w:p w14:paraId="36AD9328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Area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Unde</w:t>
            </w:r>
            <w:r>
              <w:rPr>
                <w:rFonts w:ascii="Arial" w:eastAsia="Arial" w:hAnsi="Arial" w:cs="Arial"/>
                <w:sz w:val="18"/>
                <w:szCs w:val="18"/>
              </w:rPr>
              <w:t>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the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Curve (área bajo la curva)</w:t>
            </w:r>
          </w:p>
        </w:tc>
      </w:tr>
      <w:tr w:rsidR="00A21BF2" w14:paraId="3907418C" w14:textId="77777777">
        <w:trPr>
          <w:cantSplit/>
          <w:jc w:val="center"/>
        </w:trPr>
        <w:tc>
          <w:tcPr>
            <w:tcW w:w="2067" w:type="dxa"/>
          </w:tcPr>
          <w:p w14:paraId="7A54F967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CV</w:t>
            </w:r>
          </w:p>
        </w:tc>
        <w:tc>
          <w:tcPr>
            <w:tcW w:w="7233" w:type="dxa"/>
          </w:tcPr>
          <w:p w14:paraId="28F0CD78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Cross-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Validation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(validación cruzada)</w:t>
            </w:r>
          </w:p>
        </w:tc>
      </w:tr>
      <w:tr w:rsidR="00A21BF2" w14:paraId="4ACF98E4" w14:textId="77777777">
        <w:trPr>
          <w:cantSplit/>
          <w:jc w:val="center"/>
        </w:trPr>
        <w:tc>
          <w:tcPr>
            <w:tcW w:w="2067" w:type="dxa"/>
          </w:tcPr>
          <w:p w14:paraId="666A603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EDA</w:t>
            </w:r>
          </w:p>
        </w:tc>
        <w:tc>
          <w:tcPr>
            <w:tcW w:w="7233" w:type="dxa"/>
          </w:tcPr>
          <w:p w14:paraId="19FAEFD6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Exploratory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Data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Analysis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(análisis exploratorio de datos)</w:t>
            </w:r>
          </w:p>
        </w:tc>
      </w:tr>
      <w:tr w:rsidR="00A21BF2" w14:paraId="2EFDC685" w14:textId="77777777">
        <w:trPr>
          <w:cantSplit/>
          <w:jc w:val="center"/>
        </w:trPr>
        <w:tc>
          <w:tcPr>
            <w:tcW w:w="2067" w:type="dxa"/>
          </w:tcPr>
          <w:p w14:paraId="19294CD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FN / FP</w:t>
            </w:r>
          </w:p>
        </w:tc>
        <w:tc>
          <w:tcPr>
            <w:tcW w:w="7233" w:type="dxa"/>
          </w:tcPr>
          <w:p w14:paraId="607621DB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Falso negativo / Falso positivo</w:t>
            </w:r>
          </w:p>
        </w:tc>
      </w:tr>
      <w:tr w:rsidR="00A21BF2" w14:paraId="2E99271B" w14:textId="77777777">
        <w:trPr>
          <w:cantSplit/>
          <w:jc w:val="center"/>
        </w:trPr>
        <w:tc>
          <w:tcPr>
            <w:tcW w:w="2067" w:type="dxa"/>
          </w:tcPr>
          <w:p w14:paraId="58B5AEB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HGB</w:t>
            </w:r>
          </w:p>
        </w:tc>
        <w:tc>
          <w:tcPr>
            <w:tcW w:w="7233" w:type="dxa"/>
          </w:tcPr>
          <w:p w14:paraId="4CFD5B02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HistGradientBoosting</w:t>
            </w:r>
            <w:proofErr w:type="spellEnd"/>
          </w:p>
        </w:tc>
      </w:tr>
      <w:tr w:rsidR="00A21BF2" w14:paraId="66FF184C" w14:textId="77777777">
        <w:trPr>
          <w:cantSplit/>
          <w:jc w:val="center"/>
        </w:trPr>
        <w:tc>
          <w:tcPr>
            <w:tcW w:w="2067" w:type="dxa"/>
          </w:tcPr>
          <w:p w14:paraId="447E064F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IQR</w:t>
            </w:r>
          </w:p>
        </w:tc>
        <w:tc>
          <w:tcPr>
            <w:tcW w:w="7233" w:type="dxa"/>
          </w:tcPr>
          <w:p w14:paraId="31C4D3D3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Interquartile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Range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(rango intercuartílico)</w:t>
            </w:r>
          </w:p>
        </w:tc>
      </w:tr>
      <w:tr w:rsidR="00A21BF2" w14:paraId="49FF3598" w14:textId="77777777">
        <w:trPr>
          <w:cantSplit/>
          <w:jc w:val="center"/>
        </w:trPr>
        <w:tc>
          <w:tcPr>
            <w:tcW w:w="2067" w:type="dxa"/>
          </w:tcPr>
          <w:p w14:paraId="635402DC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LR</w:t>
            </w:r>
          </w:p>
        </w:tc>
        <w:tc>
          <w:tcPr>
            <w:tcW w:w="7233" w:type="dxa"/>
          </w:tcPr>
          <w:p w14:paraId="28FE974D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Logistic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Regression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(Regresión Logística)</w:t>
            </w:r>
          </w:p>
        </w:tc>
      </w:tr>
      <w:tr w:rsidR="00A21BF2" w14:paraId="21016CB9" w14:textId="77777777">
        <w:trPr>
          <w:cantSplit/>
          <w:jc w:val="center"/>
        </w:trPr>
        <w:tc>
          <w:tcPr>
            <w:tcW w:w="2067" w:type="dxa"/>
          </w:tcPr>
          <w:p w14:paraId="5EB7F32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PR</w:t>
            </w:r>
          </w:p>
        </w:tc>
        <w:tc>
          <w:tcPr>
            <w:tcW w:w="7233" w:type="dxa"/>
          </w:tcPr>
          <w:p w14:paraId="51F78DA2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Precision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–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Recall</w:t>
            </w:r>
            <w:proofErr w:type="spellEnd"/>
          </w:p>
        </w:tc>
      </w:tr>
      <w:tr w:rsidR="00A21BF2" w14:paraId="07E0D790" w14:textId="77777777">
        <w:trPr>
          <w:cantSplit/>
          <w:jc w:val="center"/>
        </w:trPr>
        <w:tc>
          <w:tcPr>
            <w:tcW w:w="2067" w:type="dxa"/>
          </w:tcPr>
          <w:p w14:paraId="4EB4CC20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ROC</w:t>
            </w:r>
          </w:p>
        </w:tc>
        <w:tc>
          <w:tcPr>
            <w:tcW w:w="7233" w:type="dxa"/>
          </w:tcPr>
          <w:p w14:paraId="0907B61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Receiver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Operating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Characteristic</w:t>
            </w:r>
            <w:proofErr w:type="spellEnd"/>
          </w:p>
        </w:tc>
      </w:tr>
      <w:tr w:rsidR="00A21BF2" w14:paraId="416041C3" w14:textId="77777777">
        <w:trPr>
          <w:cantSplit/>
          <w:jc w:val="center"/>
        </w:trPr>
        <w:tc>
          <w:tcPr>
            <w:tcW w:w="2067" w:type="dxa"/>
          </w:tcPr>
          <w:p w14:paraId="57BA6EED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SHAP</w:t>
            </w:r>
          </w:p>
        </w:tc>
        <w:tc>
          <w:tcPr>
            <w:tcW w:w="7233" w:type="dxa"/>
          </w:tcPr>
          <w:p w14:paraId="263E5C1B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SHapley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Additive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exPlanations</w:t>
            </w:r>
            <w:proofErr w:type="spellEnd"/>
          </w:p>
        </w:tc>
      </w:tr>
      <w:tr w:rsidR="00A21BF2" w14:paraId="357818DB" w14:textId="77777777">
        <w:trPr>
          <w:cantSplit/>
          <w:jc w:val="center"/>
        </w:trPr>
        <w:tc>
          <w:tcPr>
            <w:tcW w:w="2067" w:type="dxa"/>
          </w:tcPr>
          <w:p w14:paraId="24C7BA65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T3 / T4</w:t>
            </w:r>
          </w:p>
        </w:tc>
        <w:tc>
          <w:tcPr>
            <w:tcW w:w="7233" w:type="dxa"/>
          </w:tcPr>
          <w:p w14:paraId="1D468564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Triyodotironina / Tiroxina</w:t>
            </w:r>
          </w:p>
        </w:tc>
      </w:tr>
      <w:tr w:rsidR="00A21BF2" w14:paraId="16A0C0B7" w14:textId="77777777">
        <w:trPr>
          <w:cantSplit/>
          <w:jc w:val="center"/>
        </w:trPr>
        <w:tc>
          <w:tcPr>
            <w:tcW w:w="2067" w:type="dxa"/>
          </w:tcPr>
          <w:p w14:paraId="5B5E66FE" w14:textId="77777777" w:rsidR="00A21BF2" w:rsidRDefault="00FB2279">
            <w:pPr>
              <w:spacing w:after="0" w:line="240" w:lineRule="auto"/>
            </w:pPr>
            <w:r>
              <w:rPr>
                <w:rFonts w:ascii="Arial" w:eastAsia="Arial" w:hAnsi="Arial" w:cs="Arial"/>
                <w:sz w:val="18"/>
                <w:szCs w:val="18"/>
              </w:rPr>
              <w:t>TSH</w:t>
            </w:r>
          </w:p>
        </w:tc>
        <w:tc>
          <w:tcPr>
            <w:tcW w:w="7233" w:type="dxa"/>
          </w:tcPr>
          <w:p w14:paraId="4FA20B85" w14:textId="77777777" w:rsidR="00A21BF2" w:rsidRDefault="00FB2279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Thyroid-Stimulating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Hormone (hormona estimulante de tiroides)</w:t>
            </w:r>
          </w:p>
        </w:tc>
      </w:tr>
    </w:tbl>
    <w:p w14:paraId="300DE654" w14:textId="77777777" w:rsidR="00A21BF2" w:rsidRDefault="00A21BF2">
      <w:pPr>
        <w:spacing w:after="60"/>
        <w:jc w:val="both"/>
      </w:pPr>
    </w:p>
    <w:p w14:paraId="2049E0AF" w14:textId="77777777" w:rsidR="00A21BF2" w:rsidRDefault="00FB2279">
      <w:pPr>
        <w:spacing w:before="240" w:after="240"/>
      </w:pPr>
      <w:r>
        <w:rPr>
          <w:b/>
          <w:bCs/>
          <w:sz w:val="36"/>
          <w:szCs w:val="36"/>
        </w:rPr>
        <w:t>Bibliografía</w:t>
      </w:r>
    </w:p>
    <w:p w14:paraId="4D3D6DF1" w14:textId="77777777" w:rsidR="00A21BF2" w:rsidRDefault="00FB2279">
      <w:pPr>
        <w:spacing w:before="120" w:after="120"/>
      </w:pPr>
      <w:r>
        <w:rPr>
          <w:rFonts w:ascii="Arial" w:eastAsia="Arial" w:hAnsi="Arial" w:cs="Arial"/>
          <w:sz w:val="24"/>
          <w:szCs w:val="24"/>
        </w:rPr>
        <w:t xml:space="preserve">Bray, F., </w:t>
      </w:r>
      <w:proofErr w:type="spellStart"/>
      <w:r>
        <w:rPr>
          <w:rFonts w:ascii="Arial" w:eastAsia="Arial" w:hAnsi="Arial" w:cs="Arial"/>
          <w:sz w:val="24"/>
          <w:szCs w:val="24"/>
        </w:rPr>
        <w:t>Laversanne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M., Sung, H., et al. (2024). Global </w:t>
      </w:r>
      <w:proofErr w:type="spellStart"/>
      <w:r>
        <w:rPr>
          <w:rFonts w:ascii="Arial" w:eastAsia="Arial" w:hAnsi="Arial" w:cs="Arial"/>
          <w:sz w:val="24"/>
          <w:szCs w:val="24"/>
        </w:rPr>
        <w:t>cancer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statistics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2022: GLOBOCAN </w:t>
      </w:r>
      <w:proofErr w:type="spellStart"/>
      <w:r>
        <w:rPr>
          <w:rFonts w:ascii="Arial" w:eastAsia="Arial" w:hAnsi="Arial" w:cs="Arial"/>
          <w:sz w:val="24"/>
          <w:szCs w:val="24"/>
        </w:rPr>
        <w:t>estimates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of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incidence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and </w:t>
      </w:r>
      <w:proofErr w:type="spellStart"/>
      <w:r>
        <w:rPr>
          <w:rFonts w:ascii="Arial" w:eastAsia="Arial" w:hAnsi="Arial" w:cs="Arial"/>
          <w:sz w:val="24"/>
          <w:szCs w:val="24"/>
        </w:rPr>
        <w:t>mortality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worldwide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for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36 </w:t>
      </w:r>
      <w:proofErr w:type="spellStart"/>
      <w:r>
        <w:rPr>
          <w:rFonts w:ascii="Arial" w:eastAsia="Arial" w:hAnsi="Arial" w:cs="Arial"/>
          <w:sz w:val="24"/>
          <w:szCs w:val="24"/>
        </w:rPr>
        <w:t>cancers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in 185 </w:t>
      </w:r>
      <w:proofErr w:type="spellStart"/>
      <w:r>
        <w:rPr>
          <w:rFonts w:ascii="Arial" w:eastAsia="Arial" w:hAnsi="Arial" w:cs="Arial"/>
          <w:sz w:val="24"/>
          <w:szCs w:val="24"/>
        </w:rPr>
        <w:t>countries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CA: A </w:t>
      </w:r>
      <w:proofErr w:type="spellStart"/>
      <w:r>
        <w:rPr>
          <w:rFonts w:ascii="Arial" w:eastAsia="Arial" w:hAnsi="Arial" w:cs="Arial"/>
          <w:sz w:val="24"/>
          <w:szCs w:val="24"/>
        </w:rPr>
        <w:t>Cancer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Journal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for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Clinicians</w:t>
      </w:r>
      <w:proofErr w:type="spellEnd"/>
      <w:r>
        <w:rPr>
          <w:rFonts w:ascii="Arial" w:eastAsia="Arial" w:hAnsi="Arial" w:cs="Arial"/>
          <w:sz w:val="24"/>
          <w:szCs w:val="24"/>
        </w:rPr>
        <w:t>, 74(3), 229–263.</w:t>
      </w:r>
    </w:p>
    <w:p w14:paraId="48AFA49F" w14:textId="77777777" w:rsidR="00A21BF2" w:rsidRDefault="00FB2279">
      <w:pPr>
        <w:spacing w:before="120" w:after="120"/>
      </w:pPr>
      <w:proofErr w:type="spellStart"/>
      <w:r>
        <w:rPr>
          <w:rFonts w:ascii="Arial" w:eastAsia="Arial" w:hAnsi="Arial" w:cs="Arial"/>
          <w:sz w:val="24"/>
          <w:szCs w:val="24"/>
        </w:rPr>
        <w:t>Haugen</w:t>
      </w:r>
      <w:proofErr w:type="spellEnd"/>
      <w:r>
        <w:rPr>
          <w:rFonts w:ascii="Arial" w:eastAsia="Arial" w:hAnsi="Arial" w:cs="Arial"/>
          <w:sz w:val="24"/>
          <w:szCs w:val="24"/>
        </w:rPr>
        <w:t>, B. R., Alexander, E. K.,</w:t>
      </w:r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Bible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K. C., et al. (2016). 2015 American </w:t>
      </w:r>
      <w:proofErr w:type="spellStart"/>
      <w:r>
        <w:rPr>
          <w:rFonts w:ascii="Arial" w:eastAsia="Arial" w:hAnsi="Arial" w:cs="Arial"/>
          <w:sz w:val="24"/>
          <w:szCs w:val="24"/>
        </w:rPr>
        <w:t>Thyroid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Association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Management </w:t>
      </w:r>
      <w:proofErr w:type="spellStart"/>
      <w:r>
        <w:rPr>
          <w:rFonts w:ascii="Arial" w:eastAsia="Arial" w:hAnsi="Arial" w:cs="Arial"/>
          <w:sz w:val="24"/>
          <w:szCs w:val="24"/>
        </w:rPr>
        <w:t>Guidelines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for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Adult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Patients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with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Thyroid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Nodules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and </w:t>
      </w:r>
      <w:proofErr w:type="spellStart"/>
      <w:r>
        <w:rPr>
          <w:rFonts w:ascii="Arial" w:eastAsia="Arial" w:hAnsi="Arial" w:cs="Arial"/>
          <w:sz w:val="24"/>
          <w:szCs w:val="24"/>
        </w:rPr>
        <w:t>Differentiated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Thyroid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Cancer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</w:t>
      </w:r>
      <w:proofErr w:type="spellStart"/>
      <w:r>
        <w:rPr>
          <w:rFonts w:ascii="Arial" w:eastAsia="Arial" w:hAnsi="Arial" w:cs="Arial"/>
          <w:sz w:val="24"/>
          <w:szCs w:val="24"/>
        </w:rPr>
        <w:t>Thyroid</w:t>
      </w:r>
      <w:proofErr w:type="spellEnd"/>
      <w:r>
        <w:rPr>
          <w:rFonts w:ascii="Arial" w:eastAsia="Arial" w:hAnsi="Arial" w:cs="Arial"/>
          <w:sz w:val="24"/>
          <w:szCs w:val="24"/>
        </w:rPr>
        <w:t>, 26(1), 1–133.</w:t>
      </w:r>
    </w:p>
    <w:p w14:paraId="154B3B16" w14:textId="77777777" w:rsidR="00A21BF2" w:rsidRDefault="00FB2279">
      <w:pPr>
        <w:spacing w:before="120" w:after="120"/>
      </w:pPr>
      <w:r>
        <w:rPr>
          <w:rFonts w:ascii="Arial" w:eastAsia="Arial" w:hAnsi="Arial" w:cs="Arial"/>
          <w:sz w:val="24"/>
          <w:szCs w:val="24"/>
        </w:rPr>
        <w:lastRenderedPageBreak/>
        <w:t xml:space="preserve">Pedregosa, F., </w:t>
      </w:r>
      <w:proofErr w:type="spellStart"/>
      <w:r>
        <w:rPr>
          <w:rFonts w:ascii="Arial" w:eastAsia="Arial" w:hAnsi="Arial" w:cs="Arial"/>
          <w:sz w:val="24"/>
          <w:szCs w:val="24"/>
        </w:rPr>
        <w:t>Varoquaux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G., </w:t>
      </w:r>
      <w:proofErr w:type="spellStart"/>
      <w:r>
        <w:rPr>
          <w:rFonts w:ascii="Arial" w:eastAsia="Arial" w:hAnsi="Arial" w:cs="Arial"/>
          <w:sz w:val="24"/>
          <w:szCs w:val="24"/>
        </w:rPr>
        <w:t>Gramfort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A., et al. (2011). </w:t>
      </w:r>
      <w:proofErr w:type="spellStart"/>
      <w:r>
        <w:rPr>
          <w:rFonts w:ascii="Arial" w:eastAsia="Arial" w:hAnsi="Arial" w:cs="Arial"/>
          <w:sz w:val="24"/>
          <w:szCs w:val="24"/>
        </w:rPr>
        <w:t>Scikit-learn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: Machine </w:t>
      </w:r>
      <w:proofErr w:type="spellStart"/>
      <w:r>
        <w:rPr>
          <w:rFonts w:ascii="Arial" w:eastAsia="Arial" w:hAnsi="Arial" w:cs="Arial"/>
          <w:sz w:val="24"/>
          <w:szCs w:val="24"/>
        </w:rPr>
        <w:t>Learning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in Python. </w:t>
      </w:r>
      <w:proofErr w:type="spellStart"/>
      <w:r>
        <w:rPr>
          <w:rFonts w:ascii="Arial" w:eastAsia="Arial" w:hAnsi="Arial" w:cs="Arial"/>
          <w:sz w:val="24"/>
          <w:szCs w:val="24"/>
        </w:rPr>
        <w:t>Journal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of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Machine </w:t>
      </w:r>
      <w:proofErr w:type="spellStart"/>
      <w:r>
        <w:rPr>
          <w:rFonts w:ascii="Arial" w:eastAsia="Arial" w:hAnsi="Arial" w:cs="Arial"/>
          <w:sz w:val="24"/>
          <w:szCs w:val="24"/>
        </w:rPr>
        <w:t>Learning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Research</w:t>
      </w:r>
      <w:proofErr w:type="spellEnd"/>
      <w:r>
        <w:rPr>
          <w:rFonts w:ascii="Arial" w:eastAsia="Arial" w:hAnsi="Arial" w:cs="Arial"/>
          <w:sz w:val="24"/>
          <w:szCs w:val="24"/>
        </w:rPr>
        <w:t>, 12, 2825–2830.</w:t>
      </w:r>
    </w:p>
    <w:p w14:paraId="02266DDF" w14:textId="77777777" w:rsidR="00A21BF2" w:rsidRDefault="00FB2279">
      <w:pPr>
        <w:spacing w:before="120" w:after="120"/>
      </w:pPr>
      <w:proofErr w:type="spellStart"/>
      <w:r>
        <w:rPr>
          <w:rFonts w:ascii="Arial" w:eastAsia="Arial" w:hAnsi="Arial" w:cs="Arial"/>
          <w:sz w:val="24"/>
          <w:szCs w:val="24"/>
        </w:rPr>
        <w:t>Saito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T., &amp; </w:t>
      </w:r>
      <w:proofErr w:type="spellStart"/>
      <w:r>
        <w:rPr>
          <w:rFonts w:ascii="Arial" w:eastAsia="Arial" w:hAnsi="Arial" w:cs="Arial"/>
          <w:sz w:val="24"/>
          <w:szCs w:val="24"/>
        </w:rPr>
        <w:t>Rehmsmeier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M. (2015). </w:t>
      </w:r>
      <w:proofErr w:type="spellStart"/>
      <w:r>
        <w:rPr>
          <w:rFonts w:ascii="Arial" w:eastAsia="Arial" w:hAnsi="Arial" w:cs="Arial"/>
          <w:sz w:val="24"/>
          <w:szCs w:val="24"/>
        </w:rPr>
        <w:t>The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precision-recall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plot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is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more informative </w:t>
      </w:r>
      <w:proofErr w:type="spellStart"/>
      <w:r>
        <w:rPr>
          <w:rFonts w:ascii="Arial" w:eastAsia="Arial" w:hAnsi="Arial" w:cs="Arial"/>
          <w:sz w:val="24"/>
          <w:szCs w:val="24"/>
        </w:rPr>
        <w:t>than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the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ROC </w:t>
      </w:r>
      <w:proofErr w:type="spellStart"/>
      <w:r>
        <w:rPr>
          <w:rFonts w:ascii="Arial" w:eastAsia="Arial" w:hAnsi="Arial" w:cs="Arial"/>
          <w:sz w:val="24"/>
          <w:szCs w:val="24"/>
        </w:rPr>
        <w:t>plot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wh</w:t>
      </w:r>
      <w:r>
        <w:rPr>
          <w:rFonts w:ascii="Arial" w:eastAsia="Arial" w:hAnsi="Arial" w:cs="Arial"/>
          <w:sz w:val="24"/>
          <w:szCs w:val="24"/>
        </w:rPr>
        <w:t>en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evaluating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binary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classifiers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on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imbalanced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datasets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</w:t>
      </w:r>
      <w:proofErr w:type="spellStart"/>
      <w:r>
        <w:rPr>
          <w:rFonts w:ascii="Arial" w:eastAsia="Arial" w:hAnsi="Arial" w:cs="Arial"/>
          <w:sz w:val="24"/>
          <w:szCs w:val="24"/>
        </w:rPr>
        <w:t>PLoS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ONE, 10(3), e0118432.</w:t>
      </w:r>
    </w:p>
    <w:p w14:paraId="1751C44E" w14:textId="77777777" w:rsidR="00A21BF2" w:rsidRDefault="00FB2279">
      <w:pPr>
        <w:spacing w:before="120" w:after="120"/>
      </w:pPr>
      <w:proofErr w:type="spellStart"/>
      <w:r>
        <w:rPr>
          <w:rFonts w:ascii="Arial" w:eastAsia="Arial" w:hAnsi="Arial" w:cs="Arial"/>
          <w:sz w:val="24"/>
          <w:szCs w:val="24"/>
        </w:rPr>
        <w:t>Chirumamilla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B. (2025). </w:t>
      </w:r>
      <w:proofErr w:type="spellStart"/>
      <w:r>
        <w:rPr>
          <w:rFonts w:ascii="Arial" w:eastAsia="Arial" w:hAnsi="Arial" w:cs="Arial"/>
          <w:sz w:val="24"/>
          <w:szCs w:val="24"/>
        </w:rPr>
        <w:t>Thyroid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Cancer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Risk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Dataset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[Conjunto de datos]. Kaggle. https://www.kaggle.com/datasets/bhargavchirumamilla/thyroid-cancer-risk-dataset</w:t>
      </w:r>
    </w:p>
    <w:sectPr w:rsidR="00A21BF2">
      <w:headerReference w:type="default" r:id="rId17"/>
      <w:pgSz w:w="12240" w:h="15840"/>
      <w:pgMar w:top="1417" w:right="1417" w:bottom="1417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678D7B" w14:textId="77777777" w:rsidR="00FB2279" w:rsidRDefault="00FB2279">
      <w:pPr>
        <w:spacing w:after="0" w:line="240" w:lineRule="auto"/>
      </w:pPr>
      <w:r>
        <w:separator/>
      </w:r>
    </w:p>
  </w:endnote>
  <w:endnote w:type="continuationSeparator" w:id="0">
    <w:p w14:paraId="74F0112C" w14:textId="77777777" w:rsidR="00FB2279" w:rsidRDefault="00FB22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023BB70-CE70-49CD-A590-2B3C0685C619}"/>
    <w:embedBold r:id="rId2" w:fontKey="{05B4C55A-C8FF-4BEC-B1C0-BD9BCA2E382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4A50685-5BD8-465D-A21A-7D66629EB6B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23BDC4F-613E-492D-9747-966A14C35D1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857F54" w14:textId="77777777" w:rsidR="00FB2279" w:rsidRDefault="00FB2279">
      <w:pPr>
        <w:spacing w:after="0" w:line="240" w:lineRule="auto"/>
      </w:pPr>
      <w:r>
        <w:separator/>
      </w:r>
    </w:p>
  </w:footnote>
  <w:footnote w:type="continuationSeparator" w:id="0">
    <w:p w14:paraId="6A2A2020" w14:textId="77777777" w:rsidR="00FB2279" w:rsidRDefault="00FB22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4F525A" w14:textId="77777777" w:rsidR="00A21BF2" w:rsidRDefault="00A21BF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BF2"/>
    <w:rsid w:val="00282349"/>
    <w:rsid w:val="00A21BF2"/>
    <w:rsid w:val="00FB2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EAD5FB"/>
  <w15:docId w15:val="{E437492A-A266-40E6-A670-CAFFB0A21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P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pBdr>
      <w:shd w:val="clear" w:color="auto" w:fill="4F81BD"/>
      <w:spacing w:after="0" w:line="240" w:lineRule="auto"/>
      <w:jc w:val="both"/>
      <w:outlineLvl w:val="0"/>
    </w:pPr>
    <w:rPr>
      <w:b/>
      <w:bCs/>
      <w:smallCaps/>
      <w:color w:val="FFFFFF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single" w:sz="24" w:space="0" w:color="DBE5F1"/>
        <w:left w:val="single" w:sz="24" w:space="0" w:color="DBE5F1"/>
        <w:bottom w:val="single" w:sz="24" w:space="0" w:color="DBE5F1"/>
        <w:right w:val="single" w:sz="24" w:space="0" w:color="DBE5F1"/>
      </w:pBdr>
      <w:shd w:val="clear" w:color="auto" w:fill="DBE5F1"/>
      <w:spacing w:after="0" w:line="240" w:lineRule="auto"/>
      <w:jc w:val="both"/>
      <w:outlineLvl w:val="1"/>
    </w:pPr>
    <w:rPr>
      <w:smallCaps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single" w:sz="6" w:space="2" w:color="4F81BD"/>
        <w:left w:val="single" w:sz="6" w:space="2" w:color="4F81BD"/>
      </w:pBdr>
      <w:spacing w:before="300" w:after="0" w:line="240" w:lineRule="auto"/>
      <w:jc w:val="both"/>
      <w:outlineLvl w:val="2"/>
    </w:pPr>
    <w:rPr>
      <w:smallCaps/>
      <w:color w:val="243F6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25</Pages>
  <Words>4965</Words>
  <Characters>27309</Characters>
  <Application>Microsoft Office Word</Application>
  <DocSecurity>0</DocSecurity>
  <Lines>227</Lines>
  <Paragraphs>64</Paragraphs>
  <ScaleCrop>false</ScaleCrop>
  <Company/>
  <LinksUpToDate>false</LinksUpToDate>
  <CharactersWithSpaces>32210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Sofia Gabriel Miranda Cardenas Miranda</cp:lastModifiedBy>
  <cp:revision>2</cp:revision>
  <dcterms:created xsi:type="dcterms:W3CDTF">2026-10-05T13:38:00Z</dcterms:created>
  <dcterms:modified xsi:type="dcterms:W3CDTF">2026-10-05T13:39:00Z</dcterms:modified>
</cp:coreProperties>
</file>