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78A6" w14:textId="4A8FDE04" w:rsidR="00A57F1F" w:rsidRDefault="00A57F1F" w:rsidP="00A57F1F">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Task 1 </w:t>
      </w:r>
    </w:p>
    <w:p w14:paraId="6453F022" w14:textId="77777777" w:rsidR="00A57F1F" w:rsidRDefault="00A57F1F" w:rsidP="00A57F1F">
      <w:pPr>
        <w:autoSpaceDE w:val="0"/>
        <w:autoSpaceDN w:val="0"/>
        <w:adjustRightInd w:val="0"/>
        <w:spacing w:after="0" w:line="240" w:lineRule="auto"/>
        <w:rPr>
          <w:rFonts w:ascii="Calibri" w:hAnsi="Calibri" w:cs="Calibri"/>
          <w:sz w:val="24"/>
          <w:szCs w:val="24"/>
        </w:rPr>
      </w:pPr>
    </w:p>
    <w:p w14:paraId="6AB240ED" w14:textId="5371B89C" w:rsidR="00A57F1F" w:rsidRDefault="00A57F1F"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Which one focuses on </w:t>
      </w:r>
      <w:r>
        <w:rPr>
          <w:rFonts w:ascii="Calibri-Italic" w:hAnsi="Calibri-Italic" w:cs="Calibri-Italic"/>
          <w:i/>
          <w:iCs/>
          <w:sz w:val="24"/>
          <w:szCs w:val="24"/>
        </w:rPr>
        <w:t>expressiveness</w:t>
      </w:r>
      <w:r>
        <w:rPr>
          <w:rFonts w:ascii="Calibri" w:hAnsi="Calibri" w:cs="Calibri"/>
          <w:sz w:val="24"/>
          <w:szCs w:val="24"/>
        </w:rPr>
        <w:t xml:space="preserve">, and which one on </w:t>
      </w:r>
      <w:r>
        <w:rPr>
          <w:rFonts w:ascii="Calibri-Italic" w:hAnsi="Calibri-Italic" w:cs="Calibri-Italic"/>
          <w:i/>
          <w:iCs/>
          <w:sz w:val="24"/>
          <w:szCs w:val="24"/>
        </w:rPr>
        <w:t>effectiveness</w:t>
      </w:r>
      <w:r>
        <w:rPr>
          <w:rFonts w:ascii="Calibri" w:hAnsi="Calibri" w:cs="Calibri"/>
          <w:sz w:val="24"/>
          <w:szCs w:val="24"/>
        </w:rPr>
        <w:t>?</w:t>
      </w:r>
    </w:p>
    <w:p w14:paraId="1B9EFF64" w14:textId="5E678FD2" w:rsidR="00A57F1F" w:rsidRDefault="00A57F1F"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The first one </w:t>
      </w:r>
      <w:r w:rsidR="00BA29DA">
        <w:rPr>
          <w:rFonts w:ascii="Calibri" w:hAnsi="Calibri" w:cs="Calibri"/>
          <w:sz w:val="24"/>
          <w:szCs w:val="24"/>
        </w:rPr>
        <w:t>is more focused</w:t>
      </w:r>
      <w:r>
        <w:rPr>
          <w:rFonts w:ascii="Calibri" w:hAnsi="Calibri" w:cs="Calibri"/>
          <w:sz w:val="24"/>
          <w:szCs w:val="24"/>
        </w:rPr>
        <w:t xml:space="preserve"> on e</w:t>
      </w:r>
      <w:r w:rsidR="00BA29DA">
        <w:rPr>
          <w:rFonts w:ascii="Calibri" w:hAnsi="Calibri" w:cs="Calibri"/>
          <w:sz w:val="24"/>
          <w:szCs w:val="24"/>
        </w:rPr>
        <w:t>ffectiveness because the spatial position intends for a quick understanding of the frequency and location of the injuries</w:t>
      </w:r>
      <w:r w:rsidR="0098124A">
        <w:rPr>
          <w:rFonts w:ascii="Calibri" w:hAnsi="Calibri" w:cs="Calibri"/>
          <w:sz w:val="24"/>
          <w:szCs w:val="24"/>
        </w:rPr>
        <w:t>. It fully conveys the information with a vivid picture and adds a breakdown for each kind of injury. T</w:t>
      </w:r>
      <w:r>
        <w:rPr>
          <w:rFonts w:ascii="Calibri" w:hAnsi="Calibri" w:cs="Calibri"/>
          <w:sz w:val="24"/>
          <w:szCs w:val="24"/>
        </w:rPr>
        <w:t xml:space="preserve">he </w:t>
      </w:r>
      <w:r w:rsidR="0098124A">
        <w:rPr>
          <w:rFonts w:ascii="Calibri" w:hAnsi="Calibri" w:cs="Calibri"/>
          <w:sz w:val="24"/>
          <w:szCs w:val="24"/>
        </w:rPr>
        <w:t>bar chart focuses on</w:t>
      </w:r>
      <w:r>
        <w:rPr>
          <w:rFonts w:ascii="Calibri" w:hAnsi="Calibri" w:cs="Calibri"/>
          <w:sz w:val="24"/>
          <w:szCs w:val="24"/>
        </w:rPr>
        <w:t xml:space="preserve"> </w:t>
      </w:r>
      <w:r w:rsidR="00BA29DA">
        <w:rPr>
          <w:rFonts w:ascii="Calibri" w:hAnsi="Calibri" w:cs="Calibri"/>
          <w:sz w:val="24"/>
          <w:szCs w:val="24"/>
        </w:rPr>
        <w:t xml:space="preserve">expressiveness since all necessary information is concentrated, without any distracting factors. </w:t>
      </w:r>
      <w:r w:rsidR="0098124A">
        <w:rPr>
          <w:rFonts w:ascii="Calibri" w:hAnsi="Calibri" w:cs="Calibri"/>
          <w:sz w:val="24"/>
          <w:szCs w:val="24"/>
        </w:rPr>
        <w:t xml:space="preserve">It’s simple and clear. </w:t>
      </w:r>
    </w:p>
    <w:p w14:paraId="503EB70F" w14:textId="77777777" w:rsidR="00A57F1F" w:rsidRDefault="00A57F1F" w:rsidP="00BA29DA">
      <w:pPr>
        <w:autoSpaceDE w:val="0"/>
        <w:autoSpaceDN w:val="0"/>
        <w:adjustRightInd w:val="0"/>
        <w:spacing w:after="0" w:line="240" w:lineRule="auto"/>
        <w:jc w:val="both"/>
        <w:rPr>
          <w:rFonts w:ascii="Calibri" w:hAnsi="Calibri" w:cs="Calibri"/>
          <w:sz w:val="24"/>
          <w:szCs w:val="24"/>
        </w:rPr>
      </w:pPr>
    </w:p>
    <w:p w14:paraId="53E3A9A4" w14:textId="77777777" w:rsidR="00A57F1F" w:rsidRDefault="00A57F1F"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What are the different marks and visual variables used in both visualizations?</w:t>
      </w:r>
    </w:p>
    <w:p w14:paraId="03FBF40F" w14:textId="6DC78FA6" w:rsidR="00A57F1F" w:rsidRDefault="00E23791"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On the first visualization the information is conveyed through position (location of the injury in the body) and size (number of injuries).</w:t>
      </w:r>
      <w:r w:rsidR="0098124A">
        <w:rPr>
          <w:rFonts w:ascii="Calibri" w:hAnsi="Calibri" w:cs="Calibri"/>
          <w:sz w:val="24"/>
          <w:szCs w:val="24"/>
        </w:rPr>
        <w:t xml:space="preserve"> The marks are circles.</w:t>
      </w:r>
      <w:r>
        <w:rPr>
          <w:rFonts w:ascii="Calibri" w:hAnsi="Calibri" w:cs="Calibri"/>
          <w:sz w:val="24"/>
          <w:szCs w:val="24"/>
        </w:rPr>
        <w:t xml:space="preserve"> In the second visualization both position and size (length of the bars) are also used</w:t>
      </w:r>
      <w:r w:rsidR="0098124A">
        <w:rPr>
          <w:rFonts w:ascii="Calibri" w:hAnsi="Calibri" w:cs="Calibri"/>
          <w:sz w:val="24"/>
          <w:szCs w:val="24"/>
        </w:rPr>
        <w:t>; the marks used are bars.</w:t>
      </w:r>
    </w:p>
    <w:p w14:paraId="58C2C549" w14:textId="77777777" w:rsidR="00A57F1F" w:rsidRDefault="00A57F1F" w:rsidP="00BA29DA">
      <w:pPr>
        <w:autoSpaceDE w:val="0"/>
        <w:autoSpaceDN w:val="0"/>
        <w:adjustRightInd w:val="0"/>
        <w:spacing w:after="0" w:line="240" w:lineRule="auto"/>
        <w:jc w:val="both"/>
        <w:rPr>
          <w:rFonts w:ascii="Calibri" w:hAnsi="Calibri" w:cs="Calibri"/>
          <w:sz w:val="24"/>
          <w:szCs w:val="24"/>
        </w:rPr>
      </w:pPr>
    </w:p>
    <w:p w14:paraId="5FEFEC1E" w14:textId="77777777" w:rsidR="00A57F1F" w:rsidRDefault="00A57F1F"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How do the different marks and variables affect the tasks that the visualizations</w:t>
      </w:r>
    </w:p>
    <w:p w14:paraId="4F607174" w14:textId="12421830" w:rsidR="00720365" w:rsidRDefault="00A57F1F" w:rsidP="00BA29DA">
      <w:pPr>
        <w:jc w:val="both"/>
        <w:rPr>
          <w:rFonts w:ascii="Calibri" w:hAnsi="Calibri" w:cs="Calibri"/>
          <w:sz w:val="24"/>
          <w:szCs w:val="24"/>
        </w:rPr>
      </w:pPr>
      <w:r>
        <w:rPr>
          <w:rFonts w:ascii="Calibri" w:hAnsi="Calibri" w:cs="Calibri"/>
          <w:sz w:val="24"/>
          <w:szCs w:val="24"/>
        </w:rPr>
        <w:t>support?</w:t>
      </w:r>
    </w:p>
    <w:p w14:paraId="31C8B66A" w14:textId="7C0AE090" w:rsidR="0098124A" w:rsidRDefault="0098124A" w:rsidP="0098124A">
      <w:pPr>
        <w:jc w:val="both"/>
        <w:rPr>
          <w:rFonts w:ascii="Calibri" w:hAnsi="Calibri" w:cs="Calibri"/>
          <w:sz w:val="24"/>
          <w:szCs w:val="24"/>
        </w:rPr>
      </w:pPr>
      <w:r w:rsidRPr="0098124A">
        <w:rPr>
          <w:rFonts w:ascii="Calibri" w:hAnsi="Calibri" w:cs="Calibri"/>
          <w:sz w:val="24"/>
          <w:szCs w:val="24"/>
        </w:rPr>
        <w:t>The circles positioned on the human body diagram effectively highlight where each category of injury occurs, making it easy to identify the most frequent injuries. However, comparing injuries with similar numbers at first glance can be challenging and requires looking at the labeled numbers on each circle.</w:t>
      </w:r>
    </w:p>
    <w:p w14:paraId="7093E4E2" w14:textId="54DCB2EB" w:rsidR="0098124A" w:rsidRPr="0098124A" w:rsidRDefault="0098124A" w:rsidP="0098124A">
      <w:pPr>
        <w:jc w:val="both"/>
        <w:rPr>
          <w:rFonts w:ascii="Calibri" w:hAnsi="Calibri" w:cs="Calibri"/>
          <w:sz w:val="24"/>
          <w:szCs w:val="24"/>
        </w:rPr>
      </w:pPr>
      <w:r w:rsidRPr="0098124A">
        <w:rPr>
          <w:rFonts w:ascii="Calibri" w:hAnsi="Calibri" w:cs="Calibri"/>
          <w:sz w:val="24"/>
          <w:szCs w:val="24"/>
        </w:rPr>
        <w:t>The bar chart offers a clearer comparison between the number of different injury categories by placing bars in descending order. This visual arrangement allows for quick and easy comparisons, especially for categories with similar counts.</w:t>
      </w:r>
    </w:p>
    <w:p w14:paraId="17912B71" w14:textId="77777777" w:rsidR="00A57F1F" w:rsidRDefault="00A57F1F" w:rsidP="00A57F1F">
      <w:pPr>
        <w:rPr>
          <w:rFonts w:ascii="Calibri" w:hAnsi="Calibri" w:cs="Calibri"/>
          <w:sz w:val="24"/>
          <w:szCs w:val="24"/>
        </w:rPr>
      </w:pPr>
    </w:p>
    <w:p w14:paraId="12FE5DDA" w14:textId="7D995B50" w:rsidR="00A57F1F" w:rsidRDefault="00A57F1F" w:rsidP="00A57F1F">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Task 2d </w:t>
      </w:r>
    </w:p>
    <w:p w14:paraId="5EB14D69" w14:textId="77777777" w:rsidR="00A57F1F" w:rsidRDefault="00A57F1F" w:rsidP="00A57F1F">
      <w:pPr>
        <w:autoSpaceDE w:val="0"/>
        <w:autoSpaceDN w:val="0"/>
        <w:adjustRightInd w:val="0"/>
        <w:spacing w:after="0" w:line="240" w:lineRule="auto"/>
        <w:rPr>
          <w:rFonts w:ascii="Calibri" w:hAnsi="Calibri" w:cs="Calibri"/>
          <w:sz w:val="24"/>
          <w:szCs w:val="24"/>
        </w:rPr>
      </w:pPr>
    </w:p>
    <w:p w14:paraId="4363342F" w14:textId="77777777" w:rsidR="00A57F1F" w:rsidRDefault="00A57F1F" w:rsidP="00A57F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What differences do you notice between the linear and the logarithmic scale?</w:t>
      </w:r>
    </w:p>
    <w:p w14:paraId="6B60D04F" w14:textId="1B02E595" w:rsidR="00927A8B" w:rsidRDefault="00927A8B" w:rsidP="00A57F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 the logarithmic scale there is less fluctuation in the values and between the two variables. The ranges of values reduce.</w:t>
      </w:r>
    </w:p>
    <w:p w14:paraId="643EF3CA" w14:textId="77777777" w:rsidR="00A57F1F" w:rsidRDefault="00A57F1F" w:rsidP="00A57F1F">
      <w:pPr>
        <w:autoSpaceDE w:val="0"/>
        <w:autoSpaceDN w:val="0"/>
        <w:adjustRightInd w:val="0"/>
        <w:spacing w:after="0" w:line="240" w:lineRule="auto"/>
        <w:rPr>
          <w:rFonts w:ascii="Calibri" w:hAnsi="Calibri" w:cs="Calibri"/>
          <w:sz w:val="24"/>
          <w:szCs w:val="24"/>
        </w:rPr>
      </w:pPr>
    </w:p>
    <w:p w14:paraId="4FD5CD8F" w14:textId="77777777" w:rsidR="00A57F1F" w:rsidRDefault="00A57F1F" w:rsidP="00A57F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Can you think about cases where a logarithmic scale would be more informative than</w:t>
      </w:r>
    </w:p>
    <w:p w14:paraId="2965E7D9" w14:textId="583BC2A9" w:rsidR="00A57F1F" w:rsidRDefault="00A57F1F" w:rsidP="00A57F1F">
      <w:pPr>
        <w:rPr>
          <w:rFonts w:ascii="Calibri" w:hAnsi="Calibri" w:cs="Calibri"/>
          <w:sz w:val="24"/>
          <w:szCs w:val="24"/>
        </w:rPr>
      </w:pPr>
      <w:r>
        <w:rPr>
          <w:rFonts w:ascii="Calibri" w:hAnsi="Calibri" w:cs="Calibri"/>
          <w:sz w:val="24"/>
          <w:szCs w:val="24"/>
        </w:rPr>
        <w:t>a linear one?</w:t>
      </w:r>
    </w:p>
    <w:p w14:paraId="38DA1AFB" w14:textId="301AC2C1" w:rsidR="00927A8B" w:rsidRPr="00927A8B" w:rsidRDefault="0098124A" w:rsidP="0098124A">
      <w:pPr>
        <w:autoSpaceDE w:val="0"/>
        <w:autoSpaceDN w:val="0"/>
        <w:adjustRightInd w:val="0"/>
        <w:spacing w:after="0" w:line="240" w:lineRule="auto"/>
        <w:jc w:val="both"/>
        <w:rPr>
          <w:rStyle w:val="gnvwddmdl3b"/>
          <w:rFonts w:cstheme="minorHAnsi"/>
          <w:sz w:val="20"/>
          <w:szCs w:val="20"/>
          <w:bdr w:val="none" w:sz="0" w:space="0" w:color="auto" w:frame="1"/>
        </w:rPr>
      </w:pPr>
      <w:r w:rsidRPr="0098124A">
        <w:rPr>
          <w:rFonts w:ascii="Calibri" w:hAnsi="Calibri" w:cs="Calibri"/>
          <w:sz w:val="24"/>
          <w:szCs w:val="24"/>
        </w:rPr>
        <w:t xml:space="preserve">Logarithmic scales are useful for data spanning several orders of magnitude, such as when most data points cluster together and a few are much further away. </w:t>
      </w:r>
      <w:r>
        <w:rPr>
          <w:rFonts w:ascii="Calibri" w:hAnsi="Calibri" w:cs="Calibri"/>
          <w:sz w:val="24"/>
          <w:szCs w:val="24"/>
        </w:rPr>
        <w:t xml:space="preserve"> </w:t>
      </w:r>
      <w:r w:rsidRPr="0098124A">
        <w:rPr>
          <w:rFonts w:ascii="Calibri" w:hAnsi="Calibri" w:cs="Calibri"/>
          <w:sz w:val="24"/>
          <w:szCs w:val="24"/>
        </w:rPr>
        <w:t>A logarithmic scale highlights differences within the clustered data and provides a clearer view of data distribution.</w:t>
      </w:r>
      <w:r>
        <w:rPr>
          <w:rFonts w:ascii="Calibri" w:hAnsi="Calibri" w:cs="Calibri"/>
          <w:sz w:val="24"/>
          <w:szCs w:val="24"/>
        </w:rPr>
        <w:t xml:space="preserve"> Also, w</w:t>
      </w:r>
      <w:r w:rsidR="00927A8B">
        <w:rPr>
          <w:rFonts w:ascii="Calibri" w:hAnsi="Calibri" w:cs="Calibri"/>
          <w:sz w:val="24"/>
          <w:szCs w:val="24"/>
        </w:rPr>
        <w:t xml:space="preserve">hen values grow exponentially, logarithmic scales are more suitable since they reduce the range of values. </w:t>
      </w:r>
    </w:p>
    <w:sectPr w:rsidR="00927A8B" w:rsidRPr="00927A8B" w:rsidSect="003204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355AB"/>
    <w:multiLevelType w:val="hybridMultilevel"/>
    <w:tmpl w:val="8D080A5E"/>
    <w:lvl w:ilvl="0" w:tplc="4E5A2FAA">
      <w:start w:val="9"/>
      <w:numFmt w:val="bullet"/>
      <w:lvlText w:val="-"/>
      <w:lvlJc w:val="left"/>
      <w:pPr>
        <w:ind w:left="480" w:hanging="360"/>
      </w:pPr>
      <w:rPr>
        <w:rFonts w:ascii="Lucida Console" w:eastAsiaTheme="majorEastAsia" w:hAnsi="Lucida Consol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C1FF6"/>
    <w:multiLevelType w:val="hybridMultilevel"/>
    <w:tmpl w:val="1082BDE2"/>
    <w:lvl w:ilvl="0" w:tplc="4E5A2FAA">
      <w:start w:val="9"/>
      <w:numFmt w:val="bullet"/>
      <w:lvlText w:val="-"/>
      <w:lvlJc w:val="left"/>
      <w:pPr>
        <w:ind w:left="480" w:hanging="360"/>
      </w:pPr>
      <w:rPr>
        <w:rFonts w:ascii="Lucida Console" w:eastAsiaTheme="majorEastAsia" w:hAnsi="Lucida Console"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358244469">
    <w:abstractNumId w:val="1"/>
  </w:num>
  <w:num w:numId="2" w16cid:durableId="76068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C5"/>
    <w:rsid w:val="00092D56"/>
    <w:rsid w:val="00154DC5"/>
    <w:rsid w:val="001C639E"/>
    <w:rsid w:val="00320445"/>
    <w:rsid w:val="00391249"/>
    <w:rsid w:val="0048249D"/>
    <w:rsid w:val="00720365"/>
    <w:rsid w:val="007E4925"/>
    <w:rsid w:val="00927A8B"/>
    <w:rsid w:val="00932635"/>
    <w:rsid w:val="0098124A"/>
    <w:rsid w:val="00A57F1F"/>
    <w:rsid w:val="00AF0EB1"/>
    <w:rsid w:val="00BA29DA"/>
    <w:rsid w:val="00C0207A"/>
    <w:rsid w:val="00E2379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C725"/>
  <w15:chartTrackingRefBased/>
  <w15:docId w15:val="{86BCAA14-294D-4A51-9390-886FCC38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D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4D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4D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4D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D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D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4D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4D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4D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D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DC5"/>
    <w:rPr>
      <w:rFonts w:eastAsiaTheme="majorEastAsia" w:cstheme="majorBidi"/>
      <w:color w:val="272727" w:themeColor="text1" w:themeTint="D8"/>
    </w:rPr>
  </w:style>
  <w:style w:type="paragraph" w:styleId="Title">
    <w:name w:val="Title"/>
    <w:basedOn w:val="Normal"/>
    <w:next w:val="Normal"/>
    <w:link w:val="TitleChar"/>
    <w:uiPriority w:val="10"/>
    <w:qFormat/>
    <w:rsid w:val="00154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DC5"/>
    <w:pPr>
      <w:spacing w:before="160"/>
      <w:jc w:val="center"/>
    </w:pPr>
    <w:rPr>
      <w:i/>
      <w:iCs/>
      <w:color w:val="404040" w:themeColor="text1" w:themeTint="BF"/>
    </w:rPr>
  </w:style>
  <w:style w:type="character" w:customStyle="1" w:styleId="QuoteChar">
    <w:name w:val="Quote Char"/>
    <w:basedOn w:val="DefaultParagraphFont"/>
    <w:link w:val="Quote"/>
    <w:uiPriority w:val="29"/>
    <w:rsid w:val="00154DC5"/>
    <w:rPr>
      <w:i/>
      <w:iCs/>
      <w:color w:val="404040" w:themeColor="text1" w:themeTint="BF"/>
    </w:rPr>
  </w:style>
  <w:style w:type="paragraph" w:styleId="ListParagraph">
    <w:name w:val="List Paragraph"/>
    <w:basedOn w:val="Normal"/>
    <w:uiPriority w:val="34"/>
    <w:qFormat/>
    <w:rsid w:val="00154DC5"/>
    <w:pPr>
      <w:ind w:left="720"/>
      <w:contextualSpacing/>
    </w:pPr>
  </w:style>
  <w:style w:type="character" w:styleId="IntenseEmphasis">
    <w:name w:val="Intense Emphasis"/>
    <w:basedOn w:val="DefaultParagraphFont"/>
    <w:uiPriority w:val="21"/>
    <w:qFormat/>
    <w:rsid w:val="00154DC5"/>
    <w:rPr>
      <w:i/>
      <w:iCs/>
      <w:color w:val="2F5496" w:themeColor="accent1" w:themeShade="BF"/>
    </w:rPr>
  </w:style>
  <w:style w:type="paragraph" w:styleId="IntenseQuote">
    <w:name w:val="Intense Quote"/>
    <w:basedOn w:val="Normal"/>
    <w:next w:val="Normal"/>
    <w:link w:val="IntenseQuoteChar"/>
    <w:uiPriority w:val="30"/>
    <w:qFormat/>
    <w:rsid w:val="00154D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DC5"/>
    <w:rPr>
      <w:i/>
      <w:iCs/>
      <w:color w:val="2F5496" w:themeColor="accent1" w:themeShade="BF"/>
    </w:rPr>
  </w:style>
  <w:style w:type="character" w:styleId="IntenseReference">
    <w:name w:val="Intense Reference"/>
    <w:basedOn w:val="DefaultParagraphFont"/>
    <w:uiPriority w:val="32"/>
    <w:qFormat/>
    <w:rsid w:val="00154DC5"/>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154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154DC5"/>
    <w:rPr>
      <w:rFonts w:ascii="Courier New" w:eastAsia="Times New Roman" w:hAnsi="Courier New" w:cs="Courier New"/>
      <w:sz w:val="20"/>
      <w:szCs w:val="20"/>
      <w14:ligatures w14:val="none"/>
    </w:rPr>
  </w:style>
  <w:style w:type="character" w:customStyle="1" w:styleId="gnvwddmdl3b">
    <w:name w:val="gnvwddmdl3b"/>
    <w:basedOn w:val="DefaultParagraphFont"/>
    <w:rsid w:val="0015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4256">
      <w:bodyDiv w:val="1"/>
      <w:marLeft w:val="0"/>
      <w:marRight w:val="0"/>
      <w:marTop w:val="0"/>
      <w:marBottom w:val="0"/>
      <w:divBdr>
        <w:top w:val="none" w:sz="0" w:space="0" w:color="auto"/>
        <w:left w:val="none" w:sz="0" w:space="0" w:color="auto"/>
        <w:bottom w:val="none" w:sz="0" w:space="0" w:color="auto"/>
        <w:right w:val="none" w:sz="0" w:space="0" w:color="auto"/>
      </w:divBdr>
    </w:div>
    <w:div w:id="475411524">
      <w:bodyDiv w:val="1"/>
      <w:marLeft w:val="0"/>
      <w:marRight w:val="0"/>
      <w:marTop w:val="0"/>
      <w:marBottom w:val="0"/>
      <w:divBdr>
        <w:top w:val="none" w:sz="0" w:space="0" w:color="auto"/>
        <w:left w:val="none" w:sz="0" w:space="0" w:color="auto"/>
        <w:bottom w:val="none" w:sz="0" w:space="0" w:color="auto"/>
        <w:right w:val="none" w:sz="0" w:space="0" w:color="auto"/>
      </w:divBdr>
    </w:div>
    <w:div w:id="981272184">
      <w:bodyDiv w:val="1"/>
      <w:marLeft w:val="0"/>
      <w:marRight w:val="0"/>
      <w:marTop w:val="0"/>
      <w:marBottom w:val="0"/>
      <w:divBdr>
        <w:top w:val="none" w:sz="0" w:space="0" w:color="auto"/>
        <w:left w:val="none" w:sz="0" w:space="0" w:color="auto"/>
        <w:bottom w:val="none" w:sz="0" w:space="0" w:color="auto"/>
        <w:right w:val="none" w:sz="0" w:space="0" w:color="auto"/>
      </w:divBdr>
      <w:divsChild>
        <w:div w:id="533274437">
          <w:marLeft w:val="0"/>
          <w:marRight w:val="0"/>
          <w:marTop w:val="0"/>
          <w:marBottom w:val="0"/>
          <w:divBdr>
            <w:top w:val="none" w:sz="0" w:space="0" w:color="auto"/>
            <w:left w:val="none" w:sz="0" w:space="0" w:color="auto"/>
            <w:bottom w:val="none" w:sz="0" w:space="0" w:color="auto"/>
            <w:right w:val="none" w:sz="0" w:space="0" w:color="auto"/>
          </w:divBdr>
          <w:divsChild>
            <w:div w:id="1438215684">
              <w:marLeft w:val="0"/>
              <w:marRight w:val="0"/>
              <w:marTop w:val="0"/>
              <w:marBottom w:val="0"/>
              <w:divBdr>
                <w:top w:val="none" w:sz="0" w:space="0" w:color="auto"/>
                <w:left w:val="none" w:sz="0" w:space="0" w:color="auto"/>
                <w:bottom w:val="none" w:sz="0" w:space="0" w:color="auto"/>
                <w:right w:val="none" w:sz="0" w:space="0" w:color="auto"/>
              </w:divBdr>
            </w:div>
            <w:div w:id="771972057">
              <w:marLeft w:val="0"/>
              <w:marRight w:val="0"/>
              <w:marTop w:val="0"/>
              <w:marBottom w:val="0"/>
              <w:divBdr>
                <w:top w:val="none" w:sz="0" w:space="0" w:color="auto"/>
                <w:left w:val="none" w:sz="0" w:space="0" w:color="auto"/>
                <w:bottom w:val="none" w:sz="0" w:space="0" w:color="auto"/>
                <w:right w:val="none" w:sz="0" w:space="0" w:color="auto"/>
              </w:divBdr>
            </w:div>
            <w:div w:id="1174417328">
              <w:marLeft w:val="0"/>
              <w:marRight w:val="0"/>
              <w:marTop w:val="0"/>
              <w:marBottom w:val="0"/>
              <w:divBdr>
                <w:top w:val="none" w:sz="0" w:space="0" w:color="auto"/>
                <w:left w:val="none" w:sz="0" w:space="0" w:color="auto"/>
                <w:bottom w:val="none" w:sz="0" w:space="0" w:color="auto"/>
                <w:right w:val="none" w:sz="0" w:space="0" w:color="auto"/>
              </w:divBdr>
            </w:div>
            <w:div w:id="2098481283">
              <w:marLeft w:val="0"/>
              <w:marRight w:val="0"/>
              <w:marTop w:val="0"/>
              <w:marBottom w:val="0"/>
              <w:divBdr>
                <w:top w:val="none" w:sz="0" w:space="0" w:color="auto"/>
                <w:left w:val="none" w:sz="0" w:space="0" w:color="auto"/>
                <w:bottom w:val="none" w:sz="0" w:space="0" w:color="auto"/>
                <w:right w:val="none" w:sz="0" w:space="0" w:color="auto"/>
              </w:divBdr>
            </w:div>
            <w:div w:id="1822573365">
              <w:marLeft w:val="0"/>
              <w:marRight w:val="0"/>
              <w:marTop w:val="0"/>
              <w:marBottom w:val="0"/>
              <w:divBdr>
                <w:top w:val="none" w:sz="0" w:space="0" w:color="auto"/>
                <w:left w:val="none" w:sz="0" w:space="0" w:color="auto"/>
                <w:bottom w:val="none" w:sz="0" w:space="0" w:color="auto"/>
                <w:right w:val="none" w:sz="0" w:space="0" w:color="auto"/>
              </w:divBdr>
            </w:div>
            <w:div w:id="1696927030">
              <w:marLeft w:val="0"/>
              <w:marRight w:val="0"/>
              <w:marTop w:val="0"/>
              <w:marBottom w:val="0"/>
              <w:divBdr>
                <w:top w:val="none" w:sz="0" w:space="0" w:color="auto"/>
                <w:left w:val="none" w:sz="0" w:space="0" w:color="auto"/>
                <w:bottom w:val="none" w:sz="0" w:space="0" w:color="auto"/>
                <w:right w:val="none" w:sz="0" w:space="0" w:color="auto"/>
              </w:divBdr>
            </w:div>
            <w:div w:id="1325157677">
              <w:marLeft w:val="0"/>
              <w:marRight w:val="0"/>
              <w:marTop w:val="0"/>
              <w:marBottom w:val="0"/>
              <w:divBdr>
                <w:top w:val="none" w:sz="0" w:space="0" w:color="auto"/>
                <w:left w:val="none" w:sz="0" w:space="0" w:color="auto"/>
                <w:bottom w:val="none" w:sz="0" w:space="0" w:color="auto"/>
                <w:right w:val="none" w:sz="0" w:space="0" w:color="auto"/>
              </w:divBdr>
            </w:div>
            <w:div w:id="1537237488">
              <w:marLeft w:val="0"/>
              <w:marRight w:val="0"/>
              <w:marTop w:val="0"/>
              <w:marBottom w:val="0"/>
              <w:divBdr>
                <w:top w:val="none" w:sz="0" w:space="0" w:color="auto"/>
                <w:left w:val="none" w:sz="0" w:space="0" w:color="auto"/>
                <w:bottom w:val="none" w:sz="0" w:space="0" w:color="auto"/>
                <w:right w:val="none" w:sz="0" w:space="0" w:color="auto"/>
              </w:divBdr>
            </w:div>
            <w:div w:id="1672485993">
              <w:marLeft w:val="0"/>
              <w:marRight w:val="0"/>
              <w:marTop w:val="0"/>
              <w:marBottom w:val="0"/>
              <w:divBdr>
                <w:top w:val="none" w:sz="0" w:space="0" w:color="auto"/>
                <w:left w:val="none" w:sz="0" w:space="0" w:color="auto"/>
                <w:bottom w:val="none" w:sz="0" w:space="0" w:color="auto"/>
                <w:right w:val="none" w:sz="0" w:space="0" w:color="auto"/>
              </w:divBdr>
            </w:div>
            <w:div w:id="1794861793">
              <w:marLeft w:val="0"/>
              <w:marRight w:val="0"/>
              <w:marTop w:val="0"/>
              <w:marBottom w:val="0"/>
              <w:divBdr>
                <w:top w:val="none" w:sz="0" w:space="0" w:color="auto"/>
                <w:left w:val="none" w:sz="0" w:space="0" w:color="auto"/>
                <w:bottom w:val="none" w:sz="0" w:space="0" w:color="auto"/>
                <w:right w:val="none" w:sz="0" w:space="0" w:color="auto"/>
              </w:divBdr>
            </w:div>
            <w:div w:id="1338380980">
              <w:marLeft w:val="0"/>
              <w:marRight w:val="0"/>
              <w:marTop w:val="0"/>
              <w:marBottom w:val="0"/>
              <w:divBdr>
                <w:top w:val="none" w:sz="0" w:space="0" w:color="auto"/>
                <w:left w:val="none" w:sz="0" w:space="0" w:color="auto"/>
                <w:bottom w:val="none" w:sz="0" w:space="0" w:color="auto"/>
                <w:right w:val="none" w:sz="0" w:space="0" w:color="auto"/>
              </w:divBdr>
            </w:div>
            <w:div w:id="2129734874">
              <w:marLeft w:val="0"/>
              <w:marRight w:val="0"/>
              <w:marTop w:val="0"/>
              <w:marBottom w:val="0"/>
              <w:divBdr>
                <w:top w:val="none" w:sz="0" w:space="0" w:color="auto"/>
                <w:left w:val="none" w:sz="0" w:space="0" w:color="auto"/>
                <w:bottom w:val="none" w:sz="0" w:space="0" w:color="auto"/>
                <w:right w:val="none" w:sz="0" w:space="0" w:color="auto"/>
              </w:divBdr>
            </w:div>
            <w:div w:id="843209424">
              <w:marLeft w:val="0"/>
              <w:marRight w:val="0"/>
              <w:marTop w:val="0"/>
              <w:marBottom w:val="0"/>
              <w:divBdr>
                <w:top w:val="none" w:sz="0" w:space="0" w:color="auto"/>
                <w:left w:val="none" w:sz="0" w:space="0" w:color="auto"/>
                <w:bottom w:val="none" w:sz="0" w:space="0" w:color="auto"/>
                <w:right w:val="none" w:sz="0" w:space="0" w:color="auto"/>
              </w:divBdr>
            </w:div>
            <w:div w:id="2101872256">
              <w:marLeft w:val="0"/>
              <w:marRight w:val="0"/>
              <w:marTop w:val="0"/>
              <w:marBottom w:val="0"/>
              <w:divBdr>
                <w:top w:val="none" w:sz="0" w:space="0" w:color="auto"/>
                <w:left w:val="none" w:sz="0" w:space="0" w:color="auto"/>
                <w:bottom w:val="none" w:sz="0" w:space="0" w:color="auto"/>
                <w:right w:val="none" w:sz="0" w:space="0" w:color="auto"/>
              </w:divBdr>
            </w:div>
            <w:div w:id="1694040795">
              <w:marLeft w:val="0"/>
              <w:marRight w:val="0"/>
              <w:marTop w:val="0"/>
              <w:marBottom w:val="0"/>
              <w:divBdr>
                <w:top w:val="none" w:sz="0" w:space="0" w:color="auto"/>
                <w:left w:val="none" w:sz="0" w:space="0" w:color="auto"/>
                <w:bottom w:val="none" w:sz="0" w:space="0" w:color="auto"/>
                <w:right w:val="none" w:sz="0" w:space="0" w:color="auto"/>
              </w:divBdr>
            </w:div>
            <w:div w:id="594021905">
              <w:marLeft w:val="0"/>
              <w:marRight w:val="0"/>
              <w:marTop w:val="0"/>
              <w:marBottom w:val="0"/>
              <w:divBdr>
                <w:top w:val="none" w:sz="0" w:space="0" w:color="auto"/>
                <w:left w:val="none" w:sz="0" w:space="0" w:color="auto"/>
                <w:bottom w:val="none" w:sz="0" w:space="0" w:color="auto"/>
                <w:right w:val="none" w:sz="0" w:space="0" w:color="auto"/>
              </w:divBdr>
            </w:div>
            <w:div w:id="6789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81">
      <w:bodyDiv w:val="1"/>
      <w:marLeft w:val="0"/>
      <w:marRight w:val="0"/>
      <w:marTop w:val="0"/>
      <w:marBottom w:val="0"/>
      <w:divBdr>
        <w:top w:val="none" w:sz="0" w:space="0" w:color="auto"/>
        <w:left w:val="none" w:sz="0" w:space="0" w:color="auto"/>
        <w:bottom w:val="none" w:sz="0" w:space="0" w:color="auto"/>
        <w:right w:val="none" w:sz="0" w:space="0" w:color="auto"/>
      </w:divBdr>
    </w:div>
    <w:div w:id="187230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Sofia Karsaclian</cp:lastModifiedBy>
  <cp:revision>3</cp:revision>
  <dcterms:created xsi:type="dcterms:W3CDTF">2024-05-03T13:35:00Z</dcterms:created>
  <dcterms:modified xsi:type="dcterms:W3CDTF">2024-05-06T07:26:00Z</dcterms:modified>
</cp:coreProperties>
</file>