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Argomento d’interesse:</w:t>
      </w:r>
      <w:r w:rsidDel="00000000" w:rsidR="00000000" w:rsidRPr="00000000">
        <w:rPr>
          <w:rtl w:val="0"/>
        </w:rPr>
        <w:t xml:space="preserve"> analisi traffico urbano su ROMA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Informazioni desiderate: flusso del traffico, incidenti stradali, inquinamento atmosferico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Potenziali dataset: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Incidenti stradali: https://dati.comune.roma.it/catalog/dataset/d106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Flusso del traffico: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https://www.tomtom.com/traffic-index/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Inquinamento atmosferico: https://www.arpalazio.it/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Analisi: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Mappatura zone alto rischio incidenti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Analisi temporale del traffico; picco del traffico in un determinato orario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Analisi inquinamento nelle diverse zone della città e nei diversi orari/giorni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Obiettivo comune: migliorare la viabilità e la qualità della vita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 professionali richieste: ingegneri ambientali, esperti in tecnologia del traffico, analisti della sicurezza stradale, analista GIS (Geographic Information System) per il traffico, esperto in mobilità sostenibile, analista big data del traffico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mtom.com/traffic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