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ESG/CSR Carbon Report</w:t>
      </w:r>
    </w:p>
    <w:p>
      <w:pPr>
        <w:jc w:val="center"/>
      </w:pPr>
      <w:r>
        <w:t>2025-05-08 - 2025-08-23</w:t>
      </w:r>
    </w:p>
    <w:p/>
    <w:p>
      <w:pPr>
        <w:jc w:val="center"/>
      </w:pPr>
      <w:r>
        <w:rPr>
          <w:b/>
          <w:color w:val="047857"/>
          <w:sz w:val="72"/>
        </w:rPr>
        <w:t>2.29 tons CO₂e</w:t>
      </w:r>
    </w:p>
    <w:p>
      <w:r>
        <w:br w:type="page"/>
      </w:r>
    </w:p>
    <w:p>
      <w:pPr>
        <w:pStyle w:val="Heading1"/>
      </w:pPr>
      <w:r>
        <w:t>Executive Summary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emissions</w:t>
            </w:r>
          </w:p>
        </w:tc>
        <w:tc>
          <w:tcPr>
            <w:tcW w:type="dxa" w:w="4320"/>
          </w:tcPr>
          <w:p>
            <w:r>
              <w:t>2.29 tons CO₂e</w:t>
            </w:r>
          </w:p>
        </w:tc>
      </w:tr>
      <w:tr>
        <w:tc>
          <w:tcPr>
            <w:tcW w:type="dxa" w:w="4320"/>
          </w:tcPr>
          <w:p>
            <w:r>
              <w:t>Invoices analyzed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Average per invoice</w:t>
            </w:r>
          </w:p>
        </w:tc>
        <w:tc>
          <w:tcPr>
            <w:tcW w:type="dxa" w:w="4320"/>
          </w:tcPr>
          <w:p>
            <w:r>
              <w:t>73.78 lbs CO₂e</w:t>
            </w:r>
          </w:p>
        </w:tc>
      </w:tr>
      <w:tr>
        <w:tc>
          <w:tcPr>
            <w:tcW w:type="dxa" w:w="4320"/>
          </w:tcPr>
          <w:p>
            <w:r>
              <w:t>Reporting period</w:t>
            </w:r>
          </w:p>
        </w:tc>
        <w:tc>
          <w:tcPr>
            <w:tcW w:type="dxa" w:w="4320"/>
          </w:tcPr>
          <w:p>
            <w:r>
              <w:t>2025-05-08 - 2025-08-23</w:t>
            </w:r>
          </w:p>
        </w:tc>
      </w:tr>
    </w:tbl>
    <w:p>
      <w:r>
        <w:br w:type="page"/>
      </w:r>
    </w:p>
    <w:p>
      <w:pPr>
        <w:pStyle w:val="Heading1"/>
      </w:pPr>
      <w:r>
        <w:t>Emissions Breakdown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Category</w:t>
            </w:r>
          </w:p>
        </w:tc>
        <w:tc>
          <w:tcPr>
            <w:tcW w:type="dxa" w:w="2160"/>
          </w:tcPr>
          <w:p>
            <w:r>
              <w:t>CO₂e (kg)</w:t>
            </w:r>
          </w:p>
        </w:tc>
        <w:tc>
          <w:tcPr>
            <w:tcW w:type="dxa" w:w="2160"/>
          </w:tcPr>
          <w:p>
            <w:r>
              <w:t>Count</w:t>
            </w:r>
          </w:p>
        </w:tc>
        <w:tc>
          <w:tcPr>
            <w:tcW w:type="dxa" w:w="2160"/>
          </w:tcPr>
          <w:p>
            <w:r>
              <w:t>%</w:t>
            </w:r>
          </w:p>
        </w:tc>
      </w:tr>
      <w:tr>
        <w:tc>
          <w:tcPr>
            <w:tcW w:type="dxa" w:w="2160"/>
          </w:tcPr>
          <w:p>
            <w:r>
              <w:t>materiaux</w:t>
            </w:r>
          </w:p>
        </w:tc>
        <w:tc>
          <w:tcPr>
            <w:tcW w:type="dxa" w:w="2160"/>
          </w:tcPr>
          <w:p>
            <w:r>
              <w:t>1,897.30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83.0%</w:t>
            </w:r>
          </w:p>
        </w:tc>
      </w:tr>
      <w:tr>
        <w:tc>
          <w:tcPr>
            <w:tcW w:type="dxa" w:w="2160"/>
          </w:tcPr>
          <w:p>
            <w:r>
              <w:t>services</w:t>
            </w:r>
          </w:p>
        </w:tc>
        <w:tc>
          <w:tcPr>
            <w:tcW w:type="dxa" w:w="2160"/>
          </w:tcPr>
          <w:p>
            <w:r>
              <w:t>357.81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15.6%</w:t>
            </w:r>
          </w:p>
        </w:tc>
      </w:tr>
      <w:tr>
        <w:tc>
          <w:tcPr>
            <w:tcW w:type="dxa" w:w="2160"/>
          </w:tcPr>
          <w:p>
            <w:r>
              <w:t>autres</w:t>
            </w:r>
          </w:p>
        </w:tc>
        <w:tc>
          <w:tcPr>
            <w:tcW w:type="dxa" w:w="2160"/>
          </w:tcPr>
          <w:p>
            <w:r>
              <w:t>16.20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  <w:tr>
        <w:tc>
          <w:tcPr>
            <w:tcW w:type="dxa" w:w="2160"/>
          </w:tcPr>
          <w:p>
            <w:r>
              <w:t>equipements</w:t>
            </w:r>
          </w:p>
        </w:tc>
        <w:tc>
          <w:tcPr>
            <w:tcW w:type="dxa" w:w="2160"/>
          </w:tcPr>
          <w:p>
            <w:r>
              <w:t>15.72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0.7%</w:t>
            </w:r>
          </w:p>
        </w:tc>
      </w:tr>
    </w:tbl>
    <w:p>
      <w:r>
        <w:br w:type="page"/>
      </w:r>
    </w:p>
    <w:p>
      <w:pPr>
        <w:pStyle w:val="Heading1"/>
      </w:pPr>
      <w:r>
        <w:t>Recommendations</w:t>
      </w:r>
    </w:p>
    <w:p>
      <w:pPr>
        <w:pStyle w:val="Heading2"/>
      </w:pPr>
      <w:r>
        <w:t>Engage suppliers</w:t>
      </w:r>
    </w:p>
    <w:p>
      <w:r>
        <w:t>Work with suppliers to reduce their carbon footprint and favor committed suppliers.</w:t>
      </w:r>
    </w:p>
    <w:p>
      <w:pPr>
        <w:pStyle w:val="Heading2"/>
      </w:pPr>
      <w:r>
        <w:t>Train teams</w:t>
      </w:r>
    </w:p>
    <w:p>
      <w:r>
        <w:t>Raise awareness and train employees on climate issues and best practices.</w:t>
      </w:r>
    </w:p>
    <w:p>
      <w:pPr>
        <w:pStyle w:val="Heading1"/>
      </w:pPr>
      <w:r>
        <w:t>Climate Commitments</w:t>
      </w:r>
    </w:p>
    <w:p>
      <w:r>
        <w:t>We commit to reducing our emissions by 50% by 2030 in line with Science-Based Targets.</w:t>
      </w:r>
    </w:p>
    <w:p>
      <w:r>
        <w:br w:type="page"/>
      </w:r>
    </w:p>
    <w:p>
      <w:pPr>
        <w:pStyle w:val="Heading1"/>
      </w:pPr>
      <w:r>
        <w:t>Methodology</w:t>
      </w:r>
    </w:p>
    <w:p>
      <w:r>
        <w:br/>
        <w:t>This report was generated in compliance with:</w:t>
        <w:br/>
        <w:t>- ADEME's Bilan Carbone® methodology</w:t>
        <w:br/>
        <w:t>- The GHG Protocol (Greenhouse Gas Protocol)</w:t>
        <w:br/>
        <w:br/>
        <w:t>Emission factors used are from ADEME's Base Carbone®.</w:t>
        <w:br/>
        <w:t>Calculations include GHG Protocol Scopes 2 and 3.</w:t>
        <w:br/>
        <w:br/>
        <w:t>Scope: Emissions related to company purchases and expenses</w:t>
        <w:br/>
        <w:t>Reference period: Indicated in the Summary section</w:t>
        <w:br/>
        <w:t xml:space="preserve">                </w:t>
      </w:r>
    </w:p>
    <w:p>
      <w:pPr>
        <w:pStyle w:val="Heading2"/>
      </w:pPr>
      <w:r>
        <w:t>Sources:</w:t>
      </w:r>
    </w:p>
    <w:p>
      <w:pPr>
        <w:pStyle w:val="ListBullet"/>
      </w:pPr>
      <w:r>
        <w:t>ADEME Base Carbone®</w:t>
      </w:r>
    </w:p>
    <w:p>
      <w:pPr>
        <w:pStyle w:val="ListBullet"/>
      </w:pPr>
      <w:r>
        <w:t>GHG Protocol Corporate Standard</w:t>
      </w:r>
    </w:p>
    <w:p>
      <w:pPr>
        <w:pStyle w:val="ListBullet"/>
      </w:pPr>
      <w:r>
        <w:t>ISO 14064-1:2018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600"/>
      <w:jc w:val="center"/>
    </w:pPr>
    <w:rPr>
      <w:b/>
      <w:color w:val="047857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