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Carbone ESG/RSE</w:t>
      </w:r>
    </w:p>
    <w:p>
      <w:pPr>
        <w:jc w:val="center"/>
      </w:pPr>
      <w:r>
        <w:t>2025-05-08 - 2025-08-23</w:t>
      </w:r>
    </w:p>
    <w:p/>
    <w:p>
      <w:pPr>
        <w:jc w:val="center"/>
      </w:pPr>
      <w:r>
        <w:rPr>
          <w:b/>
          <w:color w:val="047857"/>
          <w:sz w:val="72"/>
        </w:rPr>
        <w:t>2,29 tonnes CO₂e</w:t>
      </w:r>
    </w:p>
    <w:p>
      <w:r>
        <w:br w:type="page"/>
      </w:r>
    </w:p>
    <w:p>
      <w:pPr>
        <w:pStyle w:val="Heading1"/>
      </w:pPr>
      <w:r>
        <w:t>Résumé Exécutif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Émissions totales</w:t>
            </w:r>
          </w:p>
        </w:tc>
        <w:tc>
          <w:tcPr>
            <w:tcW w:type="dxa" w:w="4320"/>
          </w:tcPr>
          <w:p>
            <w:r>
              <w:t>2,29 tonnes CO₂e</w:t>
            </w:r>
          </w:p>
        </w:tc>
      </w:tr>
      <w:tr>
        <w:tc>
          <w:tcPr>
            <w:tcW w:type="dxa" w:w="4320"/>
          </w:tcPr>
          <w:p>
            <w:r>
              <w:t>Factures analysées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Moyenne par facture</w:t>
            </w:r>
          </w:p>
        </w:tc>
        <w:tc>
          <w:tcPr>
            <w:tcW w:type="dxa" w:w="4320"/>
          </w:tcPr>
          <w:p>
            <w:r>
              <w:t>73,78 kg CO₂e</w:t>
            </w:r>
          </w:p>
        </w:tc>
      </w:tr>
      <w:tr>
        <w:tc>
          <w:tcPr>
            <w:tcW w:type="dxa" w:w="4320"/>
          </w:tcPr>
          <w:p>
            <w:r>
              <w:t>Période de référence</w:t>
            </w:r>
          </w:p>
        </w:tc>
        <w:tc>
          <w:tcPr>
            <w:tcW w:type="dxa" w:w="4320"/>
          </w:tcPr>
          <w:p>
            <w:r>
              <w:t>2025-05-08 - 2025-08-23</w:t>
            </w:r>
          </w:p>
        </w:tc>
      </w:tr>
    </w:tbl>
    <w:p>
      <w:r>
        <w:br w:type="page"/>
      </w:r>
    </w:p>
    <w:p>
      <w:pPr>
        <w:pStyle w:val="Heading1"/>
      </w:pPr>
      <w:r>
        <w:t>Répartition des Émissions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Catégorie</w:t>
            </w:r>
          </w:p>
        </w:tc>
        <w:tc>
          <w:tcPr>
            <w:tcW w:type="dxa" w:w="2160"/>
          </w:tcPr>
          <w:p>
            <w:r>
              <w:t>CO₂e (kg)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materiaux</w:t>
            </w:r>
          </w:p>
        </w:tc>
        <w:tc>
          <w:tcPr>
            <w:tcW w:type="dxa" w:w="2160"/>
          </w:tcPr>
          <w:p>
            <w:r>
              <w:t>1 897,30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83.0%</w:t>
            </w:r>
          </w:p>
        </w:tc>
      </w:tr>
      <w:tr>
        <w:tc>
          <w:tcPr>
            <w:tcW w:type="dxa" w:w="2160"/>
          </w:tcPr>
          <w:p>
            <w:r>
              <w:t>services</w:t>
            </w:r>
          </w:p>
        </w:tc>
        <w:tc>
          <w:tcPr>
            <w:tcW w:type="dxa" w:w="2160"/>
          </w:tcPr>
          <w:p>
            <w:r>
              <w:t>357,81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15.6%</w:t>
            </w:r>
          </w:p>
        </w:tc>
      </w:tr>
      <w:tr>
        <w:tc>
          <w:tcPr>
            <w:tcW w:type="dxa" w:w="2160"/>
          </w:tcPr>
          <w:p>
            <w:r>
              <w:t>autres</w:t>
            </w:r>
          </w:p>
        </w:tc>
        <w:tc>
          <w:tcPr>
            <w:tcW w:type="dxa" w:w="2160"/>
          </w:tcPr>
          <w:p>
            <w:r>
              <w:t>16,20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  <w:tr>
        <w:tc>
          <w:tcPr>
            <w:tcW w:type="dxa" w:w="2160"/>
          </w:tcPr>
          <w:p>
            <w:r>
              <w:t>equipements</w:t>
            </w:r>
          </w:p>
        </w:tc>
        <w:tc>
          <w:tcPr>
            <w:tcW w:type="dxa" w:w="2160"/>
          </w:tcPr>
          <w:p>
            <w:r>
              <w:t>15,72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>
      <w:r>
        <w:br w:type="page"/>
      </w:r>
    </w:p>
    <w:p>
      <w:pPr>
        <w:pStyle w:val="Heading1"/>
      </w:pPr>
      <w:r>
        <w:t>Recommandations</w:t>
      </w:r>
    </w:p>
    <w:p>
      <w:pPr>
        <w:pStyle w:val="Heading2"/>
      </w:pPr>
      <w:r>
        <w:t>Engager les fournisseurs</w:t>
      </w:r>
    </w:p>
    <w:p>
      <w:r>
        <w:t>Travailler avec les fournisseurs pour réduire leur empreinte carbone et privilégier les fournisseurs engagés.</w:t>
      </w:r>
    </w:p>
    <w:p>
      <w:pPr>
        <w:pStyle w:val="Heading2"/>
      </w:pPr>
      <w:r>
        <w:t>Former les équipes</w:t>
      </w:r>
    </w:p>
    <w:p>
      <w:r>
        <w:t>Sensibiliser et former les collaborateurs aux enjeux climatiques et aux bonnes pratiques.</w:t>
      </w:r>
    </w:p>
    <w:p>
      <w:pPr>
        <w:pStyle w:val="Heading1"/>
      </w:pPr>
      <w:r>
        <w:t>Engagements Climat</w:t>
      </w:r>
    </w:p>
    <w:p>
      <w:r>
        <w:t>Nous nous engageons à réduire nos émissions de 50% d'ici 2030 conformément aux objectifs Science-Based Targets.</w:t>
      </w:r>
    </w:p>
    <w:p>
      <w:r>
        <w:br w:type="page"/>
      </w:r>
    </w:p>
    <w:p>
      <w:pPr>
        <w:pStyle w:val="Heading1"/>
      </w:pPr>
      <w:r>
        <w:t>Méthodologie</w:t>
      </w:r>
    </w:p>
    <w:p>
      <w:r>
        <w:br/>
        <w:t>Ce rapport a été généré en conformité avec :</w:t>
        <w:br/>
        <w:t>- La méthodologie Bilan Carbone® de l'ADEME</w:t>
        <w:br/>
        <w:t>- Le GHG Protocol (Greenhouse Gas Protocol)</w:t>
        <w:br/>
        <w:br/>
        <w:t>Les facteurs d'émission utilisés proviennent de la Base Carbone® de l'ADEME.</w:t>
        <w:br/>
        <w:t>Les calculs incluent les scopes 2 et 3 du GHG Protocol.</w:t>
        <w:br/>
        <w:br/>
        <w:t>Périmètre : Émissions liées aux achats et dépenses de l'entreprise</w:t>
        <w:br/>
        <w:t>Période de référence : Indiquée dans la section Synthèse</w:t>
        <w:br/>
        <w:t xml:space="preserve">                </w:t>
      </w:r>
    </w:p>
    <w:p>
      <w:pPr>
        <w:pStyle w:val="Heading2"/>
      </w:pPr>
      <w:r>
        <w:t>Sources:</w:t>
      </w:r>
    </w:p>
    <w:p>
      <w:pPr>
        <w:pStyle w:val="ListBullet"/>
      </w:pPr>
      <w:r>
        <w:t>ADEME Base Carbone®</w:t>
      </w:r>
    </w:p>
    <w:p>
      <w:pPr>
        <w:pStyle w:val="ListBullet"/>
      </w:pPr>
      <w:r>
        <w:t>GHG Protocol Corporate Standard</w:t>
      </w:r>
    </w:p>
    <w:p>
      <w:pPr>
        <w:pStyle w:val="ListBullet"/>
      </w:pPr>
      <w:r>
        <w:t>ISO 14064-1:2018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600"/>
      <w:jc w:val="center"/>
    </w:pPr>
    <w:rPr>
      <w:b/>
      <w:color w:val="047857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