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7.jpg" ContentType="image/jpeg"/>
  <Override PartName="/word/media/rId51.jpg" ContentType="image/jpeg"/>
  <Override PartName="/word/media/rId55.jpg" ContentType="image/jpeg"/>
  <Override PartName="/word/media/rId59.jpg" ContentType="image/jpeg"/>
  <Override PartName="/word/media/rId63.jpg" ContentType="image/jpeg"/>
  <Override PartName="/word/media/rId67.jpg" ContentType="image/jpeg"/>
  <Override PartName="/word/media/rId71.jpg" ContentType="image/jpeg"/>
  <Override PartName="/word/media/rId75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Мочалкина</w:t>
      </w:r>
      <w:r>
        <w:t xml:space="preserve"> </w:t>
      </w:r>
      <w:r>
        <w:t xml:space="preserve">Софья</w:t>
      </w:r>
      <w:r>
        <w:t xml:space="preserve"> </w:t>
      </w:r>
      <w:r>
        <w:t xml:space="preserve">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Открыть emacs.</w:t>
      </w:r>
    </w:p>
    <w:p>
      <w:pPr>
        <w:pStyle w:val="Compact"/>
        <w:numPr>
          <w:ilvl w:val="0"/>
          <w:numId w:val="1001"/>
        </w:numPr>
      </w:pPr>
      <w:r>
        <w:t xml:space="preserve">Создать файл lab07.sh с помощью комбинации Ctrl-x Ctrl-f (C-x C-f).</w:t>
      </w:r>
    </w:p>
    <w:p>
      <w:pPr>
        <w:pStyle w:val="Compact"/>
        <w:numPr>
          <w:ilvl w:val="0"/>
          <w:numId w:val="1001"/>
        </w:numPr>
      </w:pPr>
      <w:r>
        <w:t xml:space="preserve">Наберите текст:</w:t>
      </w:r>
      <w:r>
        <w:t xml:space="preserve"> </w:t>
      </w:r>
      <w:r>
        <w:t xml:space="preserve">1 #!/bin/bash</w:t>
      </w:r>
      <w:r>
        <w:t xml:space="preserve"> </w:t>
      </w:r>
      <w:r>
        <w:t xml:space="preserve">2 HELL=Hello</w:t>
      </w:r>
      <w:r>
        <w:t xml:space="preserve"> </w:t>
      </w:r>
      <w:r>
        <w:t xml:space="preserve">3 function hello {</w:t>
      </w:r>
      <w:r>
        <w:t xml:space="preserve"> </w:t>
      </w:r>
      <w:r>
        <w:t xml:space="preserve">4 LOCAL HELLO=World</w:t>
      </w:r>
      <w:r>
        <w:t xml:space="preserve"> </w:t>
      </w:r>
      <w:r>
        <w:t xml:space="preserve">5 echo $HELLO</w:t>
      </w:r>
      <w:r>
        <w:t xml:space="preserve"> </w:t>
      </w:r>
      <w:r>
        <w:t xml:space="preserve">6 }</w:t>
      </w:r>
      <w:r>
        <w:t xml:space="preserve"> </w:t>
      </w:r>
      <w:r>
        <w:t xml:space="preserve">echo $HELLO</w:t>
      </w:r>
      <w:r>
        <w:t xml:space="preserve"> </w:t>
      </w:r>
      <w:r>
        <w:t xml:space="preserve">8 hello</w:t>
      </w:r>
    </w:p>
    <w:p>
      <w:pPr>
        <w:pStyle w:val="Compact"/>
        <w:numPr>
          <w:ilvl w:val="0"/>
          <w:numId w:val="1001"/>
        </w:numPr>
      </w:pPr>
      <w:r>
        <w:t xml:space="preserve">Сохранить файл с помощью комбинации Ctrl-x Ctrl-s (C-x C-s).</w:t>
      </w:r>
    </w:p>
    <w:p>
      <w:pPr>
        <w:pStyle w:val="Compact"/>
        <w:numPr>
          <w:ilvl w:val="0"/>
          <w:numId w:val="1001"/>
        </w:numPr>
      </w:pPr>
      <w:r>
        <w:t xml:space="preserve">Проделать с текстом стандартные процедуры редактирования, каждое действие долж-</w:t>
      </w:r>
      <w:r>
        <w:t xml:space="preserve"> </w:t>
      </w:r>
      <w:r>
        <w:t xml:space="preserve">но осуществляться комбинацией клавиш.</w:t>
      </w:r>
      <w:r>
        <w:t xml:space="preserve"> </w:t>
      </w:r>
      <w:r>
        <w:t xml:space="preserve">5.1. Вырезать одной командой целую строку (С-k).</w:t>
      </w:r>
      <w:r>
        <w:t xml:space="preserve"> </w:t>
      </w:r>
      <w:r>
        <w:t xml:space="preserve">5.2. Вставить эту строку в конец файла (C-y).</w:t>
      </w:r>
      <w:r>
        <w:t xml:space="preserve"> </w:t>
      </w:r>
      <w:r>
        <w:t xml:space="preserve">5.3. Выделить область текста (C-space).</w:t>
      </w:r>
      <w:r>
        <w:t xml:space="preserve"> </w:t>
      </w:r>
      <w:r>
        <w:t xml:space="preserve">5.4. Скопировать область в буфер обмена (M-w).</w:t>
      </w:r>
      <w:r>
        <w:t xml:space="preserve"> </w:t>
      </w:r>
      <w:r>
        <w:t xml:space="preserve">5.5. Вставить область в конец файла.</w:t>
      </w:r>
      <w:r>
        <w:t xml:space="preserve"> </w:t>
      </w:r>
      <w:r>
        <w:t xml:space="preserve">5.6. Вновь выделить эту область и на этот раз вырезать её (C-w).</w:t>
      </w:r>
      <w:r>
        <w:t xml:space="preserve"> </w:t>
      </w:r>
      <w:r>
        <w:t xml:space="preserve">5.7. Отмените последнее действие (C-/).</w:t>
      </w:r>
    </w:p>
    <w:p>
      <w:pPr>
        <w:pStyle w:val="Compact"/>
        <w:numPr>
          <w:ilvl w:val="0"/>
          <w:numId w:val="1001"/>
        </w:numPr>
      </w:pPr>
      <w:r>
        <w:t xml:space="preserve">Научитесь использовать команды по перемещению курсора.</w:t>
      </w:r>
      <w:r>
        <w:t xml:space="preserve"> </w:t>
      </w:r>
      <w:r>
        <w:t xml:space="preserve">6.1. Переместите курсор в начало строки (C-a).</w:t>
      </w:r>
      <w:r>
        <w:t xml:space="preserve"> </w:t>
      </w:r>
      <w:r>
        <w:t xml:space="preserve">6.2. Переместите курсор в конец строки (C-e).</w:t>
      </w:r>
      <w:r>
        <w:t xml:space="preserve"> </w:t>
      </w:r>
      <w:r>
        <w:t xml:space="preserve">6.3. Переместите курсор в начало буфера (M-&lt;).</w:t>
      </w:r>
      <w:r>
        <w:t xml:space="preserve"> </w:t>
      </w:r>
      <w:r>
        <w:t xml:space="preserve">6.4. Переместите курсор в конец буфера (M-&gt;).</w:t>
      </w:r>
    </w:p>
    <w:p>
      <w:pPr>
        <w:pStyle w:val="Compact"/>
        <w:numPr>
          <w:ilvl w:val="0"/>
          <w:numId w:val="1001"/>
        </w:numPr>
      </w:pPr>
      <w:r>
        <w:t xml:space="preserve">Управление буферами.</w:t>
      </w:r>
      <w:r>
        <w:t xml:space="preserve"> </w:t>
      </w:r>
      <w:r>
        <w:t xml:space="preserve">7.1. Вывести список активных буферов на экран (C-x C-b).</w:t>
      </w:r>
      <w:r>
        <w:t xml:space="preserve"> </w:t>
      </w:r>
      <w:r>
        <w:t xml:space="preserve">7.2. Переместитесь во вновь открытое окно (C-x) o со списком открытых буферов</w:t>
      </w:r>
      <w:r>
        <w:t xml:space="preserve"> </w:t>
      </w:r>
      <w:r>
        <w:t xml:space="preserve">и переключитесь на другой буфер.</w:t>
      </w:r>
      <w:r>
        <w:t xml:space="preserve"> </w:t>
      </w:r>
      <w:r>
        <w:t xml:space="preserve">7.3. Закройте это окно (C-x 0).</w:t>
      </w:r>
      <w:r>
        <w:t xml:space="preserve"> </w:t>
      </w:r>
      <w:r>
        <w:t xml:space="preserve">7.4. Теперь вновь переключайтесь между буферами, но уже без вывода их списка на</w:t>
      </w:r>
      <w:r>
        <w:t xml:space="preserve"> </w:t>
      </w:r>
      <w:r>
        <w:t xml:space="preserve">экран (C-x b).</w:t>
      </w:r>
    </w:p>
    <w:p>
      <w:pPr>
        <w:pStyle w:val="Compact"/>
        <w:numPr>
          <w:ilvl w:val="0"/>
          <w:numId w:val="1001"/>
        </w:numPr>
      </w:pPr>
      <w:r>
        <w:t xml:space="preserve">Управление окнами.</w:t>
      </w:r>
      <w:r>
        <w:t xml:space="preserve"> </w:t>
      </w:r>
      <w:r>
        <w:t xml:space="preserve">8.1. Поделите фрейм на 4 части: разделите фрейм на два окна по вертикали (C-x 3),</w:t>
      </w:r>
      <w:r>
        <w:t xml:space="preserve"> </w:t>
      </w:r>
      <w:r>
        <w:t xml:space="preserve">а затем каждое из этих окон на две части по горизонтали (C-x 2) (см. рис. 9.1)</w:t>
      </w:r>
      <w:r>
        <w:t xml:space="preserve"> </w:t>
      </w:r>
      <w:r>
        <w:t xml:space="preserve">8.2. В каждом из четырёх созданных окон откройте новый буфер (файл) и введите</w:t>
      </w:r>
      <w:r>
        <w:t xml:space="preserve"> </w:t>
      </w:r>
      <w:r>
        <w:t xml:space="preserve">несколько строк текста.</w:t>
      </w:r>
    </w:p>
    <w:p>
      <w:pPr>
        <w:pStyle w:val="Compact"/>
        <w:numPr>
          <w:ilvl w:val="0"/>
          <w:numId w:val="1001"/>
        </w:numPr>
      </w:pPr>
      <w:r>
        <w:t xml:space="preserve">Режим поиска</w:t>
      </w:r>
      <w:r>
        <w:t xml:space="preserve"> </w:t>
      </w:r>
      <w:r>
        <w:t xml:space="preserve">9.1. Переключитесь в режим поиска (C-s) и найдите несколько слов, присутствующих</w:t>
      </w:r>
      <w:r>
        <w:t xml:space="preserve"> </w:t>
      </w:r>
      <w:r>
        <w:t xml:space="preserve">в тексте.</w:t>
      </w:r>
      <w:r>
        <w:t xml:space="preserve"> </w:t>
      </w:r>
      <w:r>
        <w:t xml:space="preserve">9.2. Переключайтесь между результатами поиска, нажимая C-s.</w:t>
      </w:r>
      <w:r>
        <w:t xml:space="preserve"> </w:t>
      </w:r>
      <w:r>
        <w:t xml:space="preserve">9.3. Выйдите из режима поиска, нажав C-g.</w:t>
      </w:r>
      <w:r>
        <w:t xml:space="preserve"> </w:t>
      </w:r>
      <w:r>
        <w:t xml:space="preserve">9.4. Перейдите в режим поиска и замены (M-%), введите текст, который следует найти</w:t>
      </w:r>
      <w:r>
        <w:t xml:space="preserve"> </w:t>
      </w:r>
      <w:r>
        <w:t xml:space="preserve">и заменить, нажмите Enter , затем введите текст для замены. После того как будут</w:t>
      </w:r>
      <w:r>
        <w:t xml:space="preserve"> </w:t>
      </w:r>
      <w:r>
        <w:t xml:space="preserve">подсвечены результаты поиска, нажмите ! для подтверждения замены.</w:t>
      </w:r>
      <w:r>
        <w:t xml:space="preserve"> </w:t>
      </w:r>
      <w:r>
        <w:t xml:space="preserve">9.5. Испробуйте другой режим поиска, нажав M-s o. Объясните, чем он отличается от</w:t>
      </w:r>
      <w:r>
        <w:t xml:space="preserve"> </w:t>
      </w:r>
      <w:r>
        <w:t xml:space="preserve">обычного режима?</w:t>
      </w:r>
    </w:p>
    <w:bookmarkEnd w:id="21"/>
    <w:bookmarkStart w:id="7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 соответствии с заданием:</w:t>
      </w:r>
    </w:p>
    <w:p>
      <w:pPr>
        <w:pStyle w:val="CaptionedFigure"/>
        <w:numPr>
          <w:ilvl w:val="0"/>
          <w:numId w:val="1002"/>
        </w:numPr>
      </w:pPr>
      <w:r>
        <w:drawing>
          <wp:inline>
            <wp:extent cx="2886075" cy="609600"/>
            <wp:effectExtent b="0" l="0" r="0" t="0"/>
            <wp:docPr descr="рис.1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рис.1</w:t>
      </w:r>
    </w:p>
    <w:p>
      <w:pPr>
        <w:pStyle w:val="CaptionedFigure"/>
      </w:pPr>
      <w:r>
        <w:drawing>
          <wp:inline>
            <wp:extent cx="3733800" cy="2593931"/>
            <wp:effectExtent b="0" l="0" r="0" t="0"/>
            <wp:docPr descr="рис.3" title="" id="26" name="Picture"/>
            <a:graphic>
              <a:graphicData uri="http://schemas.openxmlformats.org/drawingml/2006/picture">
                <pic:pic>
                  <pic:nvPicPr>
                    <pic:cNvPr descr="image/3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3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</w:t>
      </w:r>
    </w:p>
    <w:p>
      <w:pPr>
        <w:pStyle w:val="CaptionedFigure"/>
        <w:numPr>
          <w:ilvl w:val="0"/>
          <w:numId w:val="1003"/>
        </w:numPr>
      </w:pPr>
      <w:r>
        <w:drawing>
          <wp:inline>
            <wp:extent cx="3733800" cy="5252260"/>
            <wp:effectExtent b="0" l="0" r="0" t="0"/>
            <wp:docPr descr="рис.4" title="" id="29" name="Picture"/>
            <a:graphic>
              <a:graphicData uri="http://schemas.openxmlformats.org/drawingml/2006/picture">
                <pic:pic>
                  <pic:nvPicPr>
                    <pic:cNvPr descr="image/4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52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рис.4</w:t>
      </w:r>
    </w:p>
    <w:p>
      <w:pPr>
        <w:pStyle w:val="CaptionedFigure"/>
        <w:numPr>
          <w:ilvl w:val="0"/>
          <w:numId w:val="1003"/>
        </w:numPr>
      </w:pPr>
      <w:r>
        <w:drawing>
          <wp:inline>
            <wp:extent cx="2962275" cy="2476500"/>
            <wp:effectExtent b="0" l="0" r="0" t="0"/>
            <wp:docPr descr="рис.5" title="" id="32" name="Picture"/>
            <a:graphic>
              <a:graphicData uri="http://schemas.openxmlformats.org/drawingml/2006/picture">
                <pic:pic>
                  <pic:nvPicPr>
                    <pic:cNvPr descr="image/5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рис.5</w:t>
      </w:r>
    </w:p>
    <w:p>
      <w:pPr>
        <w:pStyle w:val="CaptionedFigure"/>
        <w:numPr>
          <w:ilvl w:val="0"/>
          <w:numId w:val="1003"/>
        </w:numPr>
      </w:pPr>
      <w:r>
        <w:drawing>
          <wp:inline>
            <wp:extent cx="3733800" cy="5233086"/>
            <wp:effectExtent b="0" l="0" r="0" t="0"/>
            <wp:docPr descr="рис.6" title="" id="35" name="Picture"/>
            <a:graphic>
              <a:graphicData uri="http://schemas.openxmlformats.org/drawingml/2006/picture">
                <pic:pic>
                  <pic:nvPicPr>
                    <pic:cNvPr descr="image/6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33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рис.6</w:t>
      </w:r>
    </w:p>
    <w:p>
      <w:pPr>
        <w:pStyle w:val="CaptionedFigure"/>
      </w:pPr>
      <w:r>
        <w:drawing>
          <wp:inline>
            <wp:extent cx="3733800" cy="756754"/>
            <wp:effectExtent b="0" l="0" r="0" t="0"/>
            <wp:docPr descr="рис.7" title="" id="38" name="Picture"/>
            <a:graphic>
              <a:graphicData uri="http://schemas.openxmlformats.org/drawingml/2006/picture">
                <pic:pic>
                  <pic:nvPicPr>
                    <pic:cNvPr descr="image/7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6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рис.7</w:t>
      </w:r>
    </w:p>
    <w:p>
      <w:pPr>
        <w:pStyle w:val="BodyText"/>
      </w:pPr>
      <w:r>
        <w:t xml:space="preserve">5.1)</w:t>
      </w:r>
      <w:r>
        <w:t xml:space="preserve"> </w:t>
      </w:r>
      <w:bookmarkStart w:id="43" w:name="fig:001"/>
      <w:r>
        <w:drawing>
          <wp:inline>
            <wp:extent cx="3267075" cy="1771650"/>
            <wp:effectExtent b="0" l="0" r="0" t="0"/>
            <wp:docPr descr="рис.8" title="" id="41" name="Picture"/>
            <a:graphic>
              <a:graphicData uri="http://schemas.openxmlformats.org/drawingml/2006/picture">
                <pic:pic>
                  <pic:nvPicPr>
                    <pic:cNvPr descr="image/8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CaptionedFigure"/>
      </w:pPr>
      <w:r>
        <w:drawing>
          <wp:inline>
            <wp:extent cx="3400425" cy="1800225"/>
            <wp:effectExtent b="0" l="0" r="0" t="0"/>
            <wp:docPr descr="рис.9" title="" id="45" name="Picture"/>
            <a:graphic>
              <a:graphicData uri="http://schemas.openxmlformats.org/drawingml/2006/picture">
                <pic:pic>
                  <pic:nvPicPr>
                    <pic:cNvPr descr="image/9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рис.9</w:t>
      </w:r>
    </w:p>
    <w:p>
      <w:pPr>
        <w:pStyle w:val="BodyText"/>
      </w:pPr>
      <w:r>
        <w:t xml:space="preserve">5.2)</w:t>
      </w:r>
      <w:r>
        <w:t xml:space="preserve"> </w:t>
      </w:r>
      <w:bookmarkStart w:id="50" w:name="fig:001"/>
      <w:r>
        <w:drawing>
          <wp:inline>
            <wp:extent cx="3048000" cy="1924050"/>
            <wp:effectExtent b="0" l="0" r="0" t="0"/>
            <wp:docPr descr="рис.10" title="" id="48" name="Picture"/>
            <a:graphic>
              <a:graphicData uri="http://schemas.openxmlformats.org/drawingml/2006/picture">
                <pic:pic>
                  <pic:nvPicPr>
                    <pic:cNvPr descr="image/10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BodyText"/>
      </w:pPr>
      <w:r>
        <w:t xml:space="preserve">5.3)</w:t>
      </w:r>
      <w:r>
        <w:t xml:space="preserve"> </w:t>
      </w:r>
      <w:bookmarkStart w:id="54" w:name="fig:001"/>
      <w:r>
        <w:drawing>
          <wp:inline>
            <wp:extent cx="3733800" cy="3686105"/>
            <wp:effectExtent b="0" l="0" r="0" t="0"/>
            <wp:docPr descr="рис.11" title="" id="52" name="Picture"/>
            <a:graphic>
              <a:graphicData uri="http://schemas.openxmlformats.org/drawingml/2006/picture">
                <pic:pic>
                  <pic:nvPicPr>
                    <pic:cNvPr descr="image/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6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BodyText"/>
      </w:pPr>
      <w:r>
        <w:t xml:space="preserve">5.5)</w:t>
      </w:r>
      <w:r>
        <w:t xml:space="preserve"> </w:t>
      </w:r>
      <w:bookmarkStart w:id="58" w:name="fig:001"/>
      <w:r>
        <w:drawing>
          <wp:inline>
            <wp:extent cx="3305175" cy="2914650"/>
            <wp:effectExtent b="0" l="0" r="0" t="0"/>
            <wp:docPr descr="рис.12" title="" id="56" name="Picture"/>
            <a:graphic>
              <a:graphicData uri="http://schemas.openxmlformats.org/drawingml/2006/picture">
                <pic:pic>
                  <pic:nvPicPr>
                    <pic:cNvPr descr="image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BodyText"/>
      </w:pPr>
      <w:r>
        <w:t xml:space="preserve">5.6)</w:t>
      </w:r>
      <w:r>
        <w:t xml:space="preserve"> </w:t>
      </w:r>
      <w:bookmarkStart w:id="62" w:name="fig:001"/>
      <w:r>
        <w:drawing>
          <wp:inline>
            <wp:extent cx="3733800" cy="3148240"/>
            <wp:effectExtent b="0" l="0" r="0" t="0"/>
            <wp:docPr descr="рис.13" title="" id="60" name="Picture"/>
            <a:graphic>
              <a:graphicData uri="http://schemas.openxmlformats.org/drawingml/2006/picture">
                <pic:pic>
                  <pic:nvPicPr>
                    <pic:cNvPr descr="image/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8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BodyText"/>
      </w:pPr>
      <w:r>
        <w:t xml:space="preserve">5.7)</w:t>
      </w:r>
      <w:r>
        <w:t xml:space="preserve"> </w:t>
      </w:r>
      <w:bookmarkStart w:id="66" w:name="fig:001"/>
      <w:r>
        <w:drawing>
          <wp:inline>
            <wp:extent cx="3733800" cy="3210209"/>
            <wp:effectExtent b="0" l="0" r="0" t="0"/>
            <wp:docPr descr="рис.14" title="" id="64" name="Picture"/>
            <a:graphic>
              <a:graphicData uri="http://schemas.openxmlformats.org/drawingml/2006/picture">
                <pic:pic>
                  <pic:nvPicPr>
                    <pic:cNvPr descr="image/14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0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BodyText"/>
      </w:pPr>
      <w:r>
        <w:t xml:space="preserve">6.1)</w:t>
      </w:r>
      <w:r>
        <w:t xml:space="preserve"> </w:t>
      </w:r>
      <w:bookmarkStart w:id="70" w:name="fig:001"/>
      <w:r>
        <w:drawing>
          <wp:inline>
            <wp:extent cx="3733800" cy="3086608"/>
            <wp:effectExtent b="0" l="0" r="0" t="0"/>
            <wp:docPr descr="рис.15" title="" id="68" name="Picture"/>
            <a:graphic>
              <a:graphicData uri="http://schemas.openxmlformats.org/drawingml/2006/picture">
                <pic:pic>
                  <pic:nvPicPr>
                    <pic:cNvPr descr="image/15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6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BodyText"/>
      </w:pPr>
      <w:r>
        <w:t xml:space="preserve">6.2)</w:t>
      </w:r>
      <w:r>
        <w:t xml:space="preserve"> </w:t>
      </w:r>
      <w:bookmarkStart w:id="74" w:name="fig:001"/>
      <w:r>
        <w:drawing>
          <wp:inline>
            <wp:extent cx="3733800" cy="2447247"/>
            <wp:effectExtent b="0" l="0" r="0" t="0"/>
            <wp:docPr descr="рис.16" title="" id="72" name="Picture"/>
            <a:graphic>
              <a:graphicData uri="http://schemas.openxmlformats.org/drawingml/2006/picture">
                <pic:pic>
                  <pic:nvPicPr>
                    <pic:cNvPr descr="image/16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7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BodyText"/>
      </w:pPr>
      <w:r>
        <w:t xml:space="preserve">6.4)</w:t>
      </w:r>
      <w:r>
        <w:t xml:space="preserve"> </w:t>
      </w:r>
      <w:bookmarkStart w:id="78" w:name="fig:001"/>
      <w:r>
        <w:drawing>
          <wp:inline>
            <wp:extent cx="3733800" cy="2255269"/>
            <wp:effectExtent b="0" l="0" r="0" t="0"/>
            <wp:docPr descr="рис.17" title="" id="76" name="Picture"/>
            <a:graphic>
              <a:graphicData uri="http://schemas.openxmlformats.org/drawingml/2006/picture">
                <pic:pic>
                  <pic:nvPicPr>
                    <pic:cNvPr descr="image/17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5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BodyText"/>
      </w:pPr>
      <w:r>
        <w:t xml:space="preserve">Контрольные вопросы:</w:t>
      </w:r>
    </w:p>
    <w:p>
      <w:pPr>
        <w:pStyle w:val="Compact"/>
        <w:numPr>
          <w:ilvl w:val="0"/>
          <w:numId w:val="1004"/>
        </w:numPr>
      </w:pPr>
      <w:r>
        <w:t xml:space="preserve">Кратко охарактеризуйте редактор Emacs.</w:t>
      </w:r>
    </w:p>
    <w:p>
      <w:pPr>
        <w:pStyle w:val="FirstParagraph"/>
      </w:pPr>
      <w:r>
        <w:t xml:space="preserve">Emacs - это мощный, расширяемый и настраиваемый текстовый редактор. Он гораздо больше, чем просто редактор: это интегрированная среда разработки (IDE) с возможностями работы с файлами, компиляции, отладки, электронной почты, чтения новостей и многого другого. Он известен своей высокой степенью кастомизации и расширяемости с помощью языка Emacs Lisp.</w:t>
      </w:r>
    </w:p>
    <w:p>
      <w:pPr>
        <w:pStyle w:val="Compact"/>
        <w:numPr>
          <w:ilvl w:val="0"/>
          <w:numId w:val="1005"/>
        </w:numPr>
      </w:pPr>
      <w:r>
        <w:t xml:space="preserve">Какие особенности данного редактора могут сделать его сложным для освоения новичком?</w:t>
      </w:r>
    </w:p>
    <w:p>
      <w:pPr>
        <w:pStyle w:val="FirstParagraph"/>
      </w:pPr>
      <w:r>
        <w:t xml:space="preserve">Нестандартные сочетания клавиш: Emacs использует большое количество сочетаний клавиш, часто включающих клавиши Ctrl (C-) и Meta (M-), что может показаться непривычным пользователям других редакторов.</w:t>
      </w:r>
      <w:r>
        <w:t xml:space="preserve"> </w:t>
      </w:r>
      <w:r>
        <w:t xml:space="preserve">Кривая обучения: Широкий функционал и возможности кастомизации могут быть ошеломляющими для новичка. Нужно время, чтобы разобраться в основных концепциях и командах.</w:t>
      </w:r>
      <w:r>
        <w:t xml:space="preserve"> </w:t>
      </w:r>
      <w:r>
        <w:t xml:space="preserve">Emacs Lisp: Для расширения функциональности редактора необходимо знание языка Emacs Lisp, что может быть дополнительным барьером для тех, кто не знаком с программированием.</w:t>
      </w:r>
      <w:r>
        <w:t xml:space="preserve"> </w:t>
      </w:r>
      <w:r>
        <w:t xml:space="preserve">Интерфейс: Интерфейс Emacs, особенно в консольной версии, может показаться устаревшим по сравнению с современными графическими редакторами.</w:t>
      </w:r>
      <w:r>
        <w:t xml:space="preserve"> </w:t>
      </w:r>
      <w:r>
        <w:t xml:space="preserve">3. Своими словами опишите, что такое буфер и окно в терминологии Emacs’а.</w:t>
      </w:r>
    </w:p>
    <w:p>
      <w:pPr>
        <w:pStyle w:val="BodyText"/>
      </w:pPr>
      <w:r>
        <w:t xml:space="preserve">Буфер: Это область памяти, в которой хранится текст или другой контент, который вы редактируете. Думайте о буфере как об открытом файле в памяти, даже если он еще не сохранен на диск. Каждый открытый файл, результаты команд, help-тексты - все отображается в своем буфере.</w:t>
      </w:r>
    </w:p>
    <w:p>
      <w:pPr>
        <w:pStyle w:val="BodyText"/>
      </w:pPr>
      <w:r>
        <w:t xml:space="preserve">Окно: Это часть экрана, в которой отображается буфер. Одно окно может отображать только один буфер, но один буфер может отображаться в нескольких окнах одновременно. Окна используются для организации рабочего пространства и одновременной работы с несколькими файлами или отображения различной информации.</w:t>
      </w:r>
    </w:p>
    <w:p>
      <w:pPr>
        <w:pStyle w:val="Compact"/>
        <w:numPr>
          <w:ilvl w:val="0"/>
          <w:numId w:val="1006"/>
        </w:numPr>
      </w:pPr>
      <w:r>
        <w:t xml:space="preserve">Можно ли открыть больше 10 буферов в одном окне?</w:t>
      </w:r>
    </w:p>
    <w:p>
      <w:pPr>
        <w:pStyle w:val="FirstParagraph"/>
      </w:pPr>
      <w:r>
        <w:t xml:space="preserve">Нет. В одном окне можно отобразить только один буфер за раз. Но можно иметь много буферов, и переключаться между ними в одном окне.</w:t>
      </w:r>
    </w:p>
    <w:p>
      <w:pPr>
        <w:pStyle w:val="Compact"/>
        <w:numPr>
          <w:ilvl w:val="0"/>
          <w:numId w:val="1007"/>
        </w:numPr>
      </w:pPr>
      <w:r>
        <w:t xml:space="preserve">Какие буферы создаются по умолчанию при запуске Emacs?</w:t>
      </w:r>
    </w:p>
    <w:p>
      <w:pPr>
        <w:pStyle w:val="FirstParagraph"/>
      </w:pPr>
      <w:r>
        <w:t xml:space="preserve">При запуске Emacs обычно создается как минимум два буфера:</w:t>
      </w:r>
    </w:p>
    <w:p>
      <w:pPr>
        <w:pStyle w:val="BodyText"/>
      </w:pPr>
      <w:r>
        <w:rPr>
          <w:i/>
          <w:iCs/>
        </w:rPr>
        <w:t xml:space="preserve">scratch</w:t>
      </w:r>
      <w:r>
        <w:t xml:space="preserve">: Буфер для временных заметок, экспериментов с Emacs Lisp и других целей. Он не сохраняется на диск автоматически.</w:t>
      </w:r>
      <w:r>
        <w:t xml:space="preserve"> </w:t>
      </w:r>
      <w:r>
        <w:rPr>
          <w:i/>
          <w:iCs/>
        </w:rPr>
        <w:t xml:space="preserve">Messages</w:t>
      </w:r>
      <w:r>
        <w:t xml:space="preserve">: Буфер для отображения сообщений от Emacs, таких как результаты команд, предупреждения и ошибки.</w:t>
      </w:r>
      <w:r>
        <w:t xml:space="preserve"> </w:t>
      </w:r>
      <w:r>
        <w:t xml:space="preserve">6. Какие клавиши вы нажмёте, чтобы ввести следующую комбинацию C-c | и C-c C-|?</w:t>
      </w:r>
    </w:p>
    <w:p>
      <w:pPr>
        <w:pStyle w:val="BodyText"/>
      </w:pPr>
      <w:r>
        <w:t xml:space="preserve">C-c |: C-c (удерживайте Ctrl и нажмите c), затем нажмите | (вертикальную черту, обычно Shift + ).</w:t>
      </w:r>
      <w:r>
        <w:t xml:space="preserve"> </w:t>
      </w:r>
      <w:r>
        <w:t xml:space="preserve">C-c C-|: C-c (удерживайте Ctrl и нажмите c), отпустите Ctrl, затем снова C- (удерживайте Ctrl и нажмите), затем нажмите | (вертикальную черту, обычно Shift + ).</w:t>
      </w:r>
      <w:r>
        <w:t xml:space="preserve"> </w:t>
      </w:r>
      <w:r>
        <w:t xml:space="preserve">7. Как поделить текущее окно на две части?</w:t>
      </w:r>
    </w:p>
    <w:p>
      <w:pPr>
        <w:pStyle w:val="BodyText"/>
      </w:pPr>
      <w:r>
        <w:t xml:space="preserve">По горизонтали (два окна сверху и снизу): C-x 2</w:t>
      </w:r>
      <w:r>
        <w:t xml:space="preserve"> </w:t>
      </w:r>
      <w:r>
        <w:t xml:space="preserve">По вертикали (два окна слева и справа): C-x 3</w:t>
      </w:r>
      <w:r>
        <w:t xml:space="preserve"> </w:t>
      </w:r>
      <w:r>
        <w:t xml:space="preserve">8. В каком файле хранятся настройки редактора Emacs?</w:t>
      </w:r>
    </w:p>
    <w:p>
      <w:pPr>
        <w:pStyle w:val="BodyText"/>
      </w:pPr>
      <w:r>
        <w:t xml:space="preserve">Настройки редактора Emacs обычно хранятся в файле .emacs или .emacs.el (предпочтительнее) в домашнем каталоге пользователя. На новых версиях может также использоваться ~/.config/emacs/init.el.</w:t>
      </w:r>
    </w:p>
    <w:p>
      <w:pPr>
        <w:pStyle w:val="Compact"/>
        <w:numPr>
          <w:ilvl w:val="0"/>
          <w:numId w:val="1008"/>
        </w:numPr>
      </w:pPr>
      <w:r>
        <w:t xml:space="preserve">Какую функцию выполняет клавиша ESC и можно ли её переназначить?</w:t>
      </w:r>
    </w:p>
    <w:p>
      <w:pPr>
        <w:pStyle w:val="FirstParagraph"/>
      </w:pPr>
      <w:r>
        <w:t xml:space="preserve">Клавиша ESC (Escape) в Emacs обычно используется как префиксная клавиша для команд Meta (M-). Например, ESC x (или M-x) позволяет ввести имя команды.</w:t>
      </w:r>
    </w:p>
    <w:p>
      <w:pPr>
        <w:pStyle w:val="BodyText"/>
      </w:pPr>
      <w:r>
        <w:t xml:space="preserve">Да, клавишу ESC можно переназначить, как и любую другую клавишу в Emacs. Это делается с помощью Emacs Lisp в файле настроек.</w:t>
      </w:r>
    </w:p>
    <w:p>
      <w:pPr>
        <w:pStyle w:val="Compact"/>
        <w:numPr>
          <w:ilvl w:val="0"/>
          <w:numId w:val="1009"/>
        </w:numPr>
      </w:pPr>
      <w:r>
        <w:t xml:space="preserve">Какой редактор вам показался удобнее в работе vi или Emacs? Поясните почему.</w:t>
      </w:r>
    </w:p>
    <w:p>
      <w:pPr>
        <w:pStyle w:val="FirstParagraph"/>
      </w:pPr>
      <w:r>
        <w:t xml:space="preserve">Этот вопрос субъективен. Выбор между Vi и Emacs - это вопрос личных предпочтений. Я, как большая языковая модель, не имею личных предпочтений. Однако, я могу сказать, что Emacs часто выбирают за его расширяемость и кастомизацию: Практически все в Emacs можно настроить и изменить.</w:t>
      </w:r>
      <w:r>
        <w:t xml:space="preserve"> </w:t>
      </w:r>
      <w:r>
        <w:t xml:space="preserve">Встроенные возможности: Emacs предлагает множество встроенных функций, выходящих за рамки простого редактирования текста.</w:t>
      </w:r>
      <w:r>
        <w:t xml:space="preserve"> </w:t>
      </w:r>
      <w:r>
        <w:t xml:space="preserve">Более интуитивные сочетания клавиш (для некоторых): Хотя сочетания клавиш Emacs могут показаться сложными, некоторые пользователи находят их более логичными, чем модальную систему Vi.</w:t>
      </w:r>
      <w:r>
        <w:t xml:space="preserve"> </w:t>
      </w:r>
      <w:r>
        <w:t xml:space="preserve">В то время как Vi/Vim ценится за:</w:t>
      </w:r>
    </w:p>
    <w:p>
      <w:pPr>
        <w:pStyle w:val="BodyText"/>
      </w:pPr>
      <w:r>
        <w:t xml:space="preserve">Минимализм и скорость: Vi - легкий и быстрый редактор, который быстро запускается и работает на любой системе.</w:t>
      </w:r>
      <w:r>
        <w:t xml:space="preserve"> </w:t>
      </w:r>
      <w:r>
        <w:t xml:space="preserve">Эффективность в модальном редактировании: После освоения модальной системы редактирования Vi позволяет очень быстро перемещаться по тексту и выполнять редактирование.</w:t>
      </w:r>
      <w:r>
        <w:t xml:space="preserve"> </w:t>
      </w:r>
      <w:r>
        <w:t xml:space="preserve">Широкое распространение: Vi предустановлен на большинстве Unix-подобных систем.</w:t>
      </w:r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Познакомилась с операционной системой Linux. Получила практические навыки работы с редактором Emacs.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Relationship Type="http://schemas.openxmlformats.org/officeDocument/2006/relationships/image" Id="rId59" Target="media/rId59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image" Id="rId71" Target="media/rId71.jpg" /><Relationship Type="http://schemas.openxmlformats.org/officeDocument/2006/relationships/image" Id="rId75" Target="media/rId75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4" Target="media/rId4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11</dc:title>
  <dc:creator>Мочалкина Софья Васильевна</dc:creator>
  <dc:language>ru-RU</dc:language>
  <cp:keywords/>
  <dcterms:created xsi:type="dcterms:W3CDTF">2025-04-26T15:23:20Z</dcterms:created>
  <dcterms:modified xsi:type="dcterms:W3CDTF">2025-04-26T15:23:20Z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Текстовой редактор emacs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