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Adaptive Functioning, Everyday Executive Functioning, and Visuospatial Abilities in Children: A Cross-Sectional Study</w:t>
      </w:r>
    </w:p>
    <w:p>
      <w:pPr>
        <w:pStyle w:val="Author"/>
      </w:pPr>
      <w:r>
        <w:t xml:space="preserve">Sofia Pepe, Greta Fabiani, and Laura Piccardi</w:t>
      </w:r>
    </w:p>
    <w:bookmarkStart w:id="29" w:name="methods"/>
    <w:p>
      <w:pPr>
        <w:pStyle w:val="Heading1"/>
      </w:pPr>
      <w:r>
        <w:t xml:space="preserve">Methods</w:t>
      </w:r>
    </w:p>
    <w:bookmarkStart w:id="20" w:name="participants"/>
    <w:p>
      <w:pPr>
        <w:pStyle w:val="Heading2"/>
      </w:pPr>
      <w:r>
        <w:t xml:space="preserve">Participants</w:t>
      </w:r>
    </w:p>
    <w:p>
      <w:pPr>
        <w:pStyle w:val="FirstParagraph"/>
      </w:pPr>
      <w:r>
        <w:t xml:space="preserve">The source database comprised 101 typically developing Italian children aged</w:t>
      </w:r>
      <w:r>
        <w:t xml:space="preserve"> </w:t>
      </w:r>
      <w:r>
        <w:t xml:space="preserve">5–7 years. Participants were recruited from the third year of two preschools</w:t>
      </w:r>
      <w:r>
        <w:t xml:space="preserve"> </w:t>
      </w:r>
      <w:r>
        <w:t xml:space="preserve">(</w:t>
      </w:r>
      <w:r>
        <w:t xml:space="preserve">“D. Ricci”</w:t>
      </w:r>
      <w:r>
        <w:t xml:space="preserve"> </w:t>
      </w:r>
      <w:r>
        <w:t xml:space="preserve">in Acquasparta and</w:t>
      </w:r>
      <w:r>
        <w:t xml:space="preserve"> </w:t>
      </w:r>
      <w:r>
        <w:t xml:space="preserve">“G. S. Bernardo”</w:t>
      </w:r>
      <w:r>
        <w:t xml:space="preserve"> </w:t>
      </w:r>
      <w:r>
        <w:t xml:space="preserve">in Narni) and from the first</w:t>
      </w:r>
      <w:r>
        <w:t xml:space="preserve"> </w:t>
      </w:r>
      <w:r>
        <w:t xml:space="preserve">and second years of four primary schools (</w:t>
      </w:r>
      <w:r>
        <w:t xml:space="preserve">“A. B. Sabin”</w:t>
      </w:r>
      <w:r>
        <w:t xml:space="preserve"> </w:t>
      </w:r>
      <w:r>
        <w:t xml:space="preserve">in Acquasparta,</w:t>
      </w:r>
      <w:r>
        <w:t xml:space="preserve"> </w:t>
      </w:r>
      <w:r>
        <w:t xml:space="preserve">Montecchio Primary School,</w:t>
      </w:r>
      <w:r>
        <w:t xml:space="preserve"> </w:t>
      </w:r>
      <w:r>
        <w:t xml:space="preserve">“Narni S. Lucia,”</w:t>
      </w:r>
      <w:r>
        <w:t xml:space="preserve"> </w:t>
      </w:r>
      <w:r>
        <w:t xml:space="preserve">and</w:t>
      </w:r>
      <w:r>
        <w:t xml:space="preserve"> </w:t>
      </w:r>
      <w:r>
        <w:t xml:space="preserve">“Narni Centro”</w:t>
      </w:r>
      <w:r>
        <w:t xml:space="preserve">). Eligibility</w:t>
      </w:r>
      <w:r>
        <w:t xml:space="preserve"> </w:t>
      </w:r>
      <w:r>
        <w:t xml:space="preserve">criteria were native Italian language, no primary sensory deficits, no</w:t>
      </w:r>
      <w:r>
        <w:t xml:space="preserve"> </w:t>
      </w:r>
      <w:r>
        <w:t xml:space="preserve">neurological conditions, and no significant psychiatric or developmental</w:t>
      </w:r>
      <w:r>
        <w:t xml:space="preserve"> </w:t>
      </w:r>
      <w:r>
        <w:t xml:space="preserve">disorders. The study followed the principles of the Declaration of Helsinki.</w:t>
      </w:r>
      <w:r>
        <w:t xml:space="preserve"> </w:t>
      </w:r>
      <w:r>
        <w:t xml:space="preserve">Written informed consent was obtained from parents and assent from each child.</w:t>
      </w:r>
      <w:r>
        <w:t xml:space="preserve"> </w:t>
      </w:r>
      <w:r>
        <w:t xml:space="preserve">General non-verbal cognitive functioning was screened with Raven’s Coloured</w:t>
      </w:r>
      <w:r>
        <w:t xml:space="preserve"> </w:t>
      </w:r>
      <w:r>
        <w:t xml:space="preserve">Progressive Matrices</w:t>
      </w:r>
      <w:r>
        <w:t xml:space="preserve"> </w:t>
      </w:r>
      <w:r>
        <w:t xml:space="preserve">(Raven 1995)</w:t>
      </w:r>
      <w:r>
        <w:t xml:space="preserve">. Age-specific screening thresholds were</w:t>
      </w:r>
      <w:r>
        <w:t xml:space="preserve"> </w:t>
      </w:r>
      <w:r>
        <w:t xml:space="preserve">applied to the baseline Raven accuracy score. Two children met these criteria,</w:t>
      </w:r>
      <w:r>
        <w:t xml:space="preserve"> </w:t>
      </w:r>
      <w:r>
        <w:t xml:space="preserve">resulting in a primary analytic sample of 99 children (54 boys and 45 girls;</w:t>
      </w:r>
      <w:r>
        <w:t xml:space="preserve"> </w:t>
      </w:r>
      <w:r>
        <w:t xml:space="preserve">mean age = 6.43 years, SD = 0.64, range = 5–7).</w:t>
      </w:r>
    </w:p>
    <w:bookmarkEnd w:id="20"/>
    <w:bookmarkStart w:id="21" w:name="procedure"/>
    <w:p>
      <w:pPr>
        <w:pStyle w:val="Heading2"/>
      </w:pPr>
      <w:r>
        <w:t xml:space="preserve">Procedure</w:t>
      </w:r>
    </w:p>
    <w:p>
      <w:pPr>
        <w:pStyle w:val="FirstParagraph"/>
      </w:pPr>
      <w:r>
        <w:t xml:space="preserve">Children were assessed individually in a quiet room at school. Only measures</w:t>
      </w:r>
      <w:r>
        <w:t xml:space="preserve"> </w:t>
      </w:r>
      <w:r>
        <w:t xml:space="preserve">collected at the baseline assessment were used. The order of the cognitive</w:t>
      </w:r>
      <w:r>
        <w:t xml:space="preserve"> </w:t>
      </w:r>
      <w:r>
        <w:t xml:space="preserve">tests was counterbalanced across participants. The present cross-sectional</w:t>
      </w:r>
      <w:r>
        <w:t xml:space="preserve"> </w:t>
      </w:r>
      <w:r>
        <w:t xml:space="preserve">study used only measurements obtained during this assessment.</w:t>
      </w:r>
    </w:p>
    <w:bookmarkEnd w:id="21"/>
    <w:bookmarkStart w:id="27" w:name="measures"/>
    <w:p>
      <w:pPr>
        <w:pStyle w:val="Heading2"/>
      </w:pPr>
      <w:r>
        <w:t xml:space="preserve">Measures</w:t>
      </w:r>
    </w:p>
    <w:bookmarkStart w:id="22" w:name="corsi-block-tapping-test"/>
    <w:p>
      <w:pPr>
        <w:pStyle w:val="Heading3"/>
      </w:pPr>
      <w:r>
        <w:t xml:space="preserve">Corsi Block-Tapping Test</w:t>
      </w:r>
    </w:p>
    <w:p>
      <w:pPr>
        <w:pStyle w:val="FirstParagraph"/>
      </w:pPr>
      <w:r>
        <w:t xml:space="preserve">The Corsi Block-Tapping Test</w:t>
      </w:r>
      <w:r>
        <w:t xml:space="preserve"> </w:t>
      </w:r>
      <w:r>
        <w:t xml:space="preserve">(Corsi 1972; Monaco et al. 2013)</w:t>
      </w:r>
      <w:r>
        <w:t xml:space="preserve"> </w:t>
      </w:r>
      <w:r>
        <w:t xml:space="preserve">assessed</w:t>
      </w:r>
      <w:r>
        <w:t xml:space="preserve"> </w:t>
      </w:r>
      <w:r>
        <w:t xml:space="preserve">visuospatial short-term and working memory using nine blocks arranged in an</w:t>
      </w:r>
      <w:r>
        <w:t xml:space="preserve"> </w:t>
      </w:r>
      <w:r>
        <w:t xml:space="preserve">irregular spatial configuration. In the forward condition, children reproduced</w:t>
      </w:r>
      <w:r>
        <w:t xml:space="preserve"> </w:t>
      </w:r>
      <w:r>
        <w:t xml:space="preserve">the examiner’s sequence in the same order; in the backward condition, they</w:t>
      </w:r>
      <w:r>
        <w:t xml:space="preserve"> </w:t>
      </w:r>
      <w:r>
        <w:t xml:space="preserve">reproduced it in reverse order. The longest correctly reproduced sequence was</w:t>
      </w:r>
      <w:r>
        <w:t xml:space="preserve"> </w:t>
      </w:r>
      <w:r>
        <w:t xml:space="preserve">recorded as forward span and backward span.</w:t>
      </w:r>
    </w:p>
    <w:bookmarkEnd w:id="22"/>
    <w:bookmarkStart w:id="23" w:name="tower-of-london"/>
    <w:p>
      <w:pPr>
        <w:pStyle w:val="Heading3"/>
      </w:pPr>
      <w:r>
        <w:t xml:space="preserve">Tower of London</w:t>
      </w:r>
    </w:p>
    <w:p>
      <w:pPr>
        <w:pStyle w:val="FirstParagraph"/>
      </w:pPr>
      <w:r>
        <w:t xml:space="preserve">The Tower of London</w:t>
      </w:r>
      <w:r>
        <w:t xml:space="preserve"> </w:t>
      </w:r>
      <w:r>
        <w:t xml:space="preserve">(Shallice 1982)</w:t>
      </w:r>
      <w:r>
        <w:t xml:space="preserve"> </w:t>
      </w:r>
      <w:r>
        <w:t xml:space="preserve">assessed planning, problem solving,</w:t>
      </w:r>
      <w:r>
        <w:t xml:space="preserve"> </w:t>
      </w:r>
      <w:r>
        <w:t xml:space="preserve">anticipation of consequences, and adherence to task rules. Children reproduced target</w:t>
      </w:r>
      <w:r>
        <w:t xml:space="preserve"> </w:t>
      </w:r>
      <w:r>
        <w:t xml:space="preserve">configurations by moving coloured balls across pegs while respecting movement</w:t>
      </w:r>
      <w:r>
        <w:t xml:space="preserve"> </w:t>
      </w:r>
      <w:r>
        <w:t xml:space="preserve">and peg-capacity rules. The present analyses used total accuracy and rule</w:t>
      </w:r>
      <w:r>
        <w:t xml:space="preserve"> </w:t>
      </w:r>
      <w:r>
        <w:t xml:space="preserve">violations. Higher accuracy indicated better</w:t>
      </w:r>
      <w:r>
        <w:t xml:space="preserve"> </w:t>
      </w:r>
      <w:r>
        <w:t xml:space="preserve">performance, whereas fewer violations indicated better rule-governed planning.</w:t>
      </w:r>
    </w:p>
    <w:bookmarkEnd w:id="23"/>
    <w:bookmarkStart w:id="24" w:name="moles-task"/>
    <w:p>
      <w:pPr>
        <w:pStyle w:val="Heading3"/>
      </w:pPr>
      <w:r>
        <w:t xml:space="preserve">Moles Task</w:t>
      </w:r>
    </w:p>
    <w:p>
      <w:pPr>
        <w:pStyle w:val="FirstParagraph"/>
      </w:pPr>
      <w:r>
        <w:t xml:space="preserve">The computerised Moles Task is a child-friendly adaptation of the Digital</w:t>
      </w:r>
      <w:r>
        <w:t xml:space="preserve"> </w:t>
      </w:r>
      <w:r>
        <w:t xml:space="preserve">Minefield Task (DMT), which was developed to isolate and assess spatial working</w:t>
      </w:r>
      <w:r>
        <w:t xml:space="preserve"> </w:t>
      </w:r>
      <w:r>
        <w:t xml:space="preserve">memory and planning both separately and in combination. The DMT is itself a</w:t>
      </w:r>
      <w:r>
        <w:t xml:space="preserve"> </w:t>
      </w:r>
      <w:r>
        <w:t xml:space="preserve">computerised adaptation of the physical Minefield Task described by Bocchi et</w:t>
      </w:r>
      <w:r>
        <w:t xml:space="preserve"> </w:t>
      </w:r>
      <w:r>
        <w:t xml:space="preserve">al.</w:t>
      </w:r>
      <w:r>
        <w:t xml:space="preserve"> </w:t>
      </w:r>
      <w:r>
        <w:t xml:space="preserve">(2022)</w:t>
      </w:r>
      <w:r>
        <w:t xml:space="preserve">. The Moles Task assessed spatial memory, navigation, and</w:t>
      </w:r>
      <w:r>
        <w:t xml:space="preserve"> </w:t>
      </w:r>
      <w:r>
        <w:t xml:space="preserve">visuospatial planning on an 8 × 8 grid. In the working-memory condition,</w:t>
      </w:r>
      <w:r>
        <w:t xml:space="preserve"> </w:t>
      </w:r>
      <w:r>
        <w:t xml:space="preserve">children viewed and subsequently recalled mole locations; working-memory</w:t>
      </w:r>
      <w:r>
        <w:t xml:space="preserve"> </w:t>
      </w:r>
      <w:r>
        <w:t xml:space="preserve">accuracy was analysed. In the planning condition, children traced a route from</w:t>
      </w:r>
      <w:r>
        <w:t xml:space="preserve"> </w:t>
      </w:r>
      <w:r>
        <w:t xml:space="preserve">start to finish while avoiding visible obstacles; planning accuracy and the</w:t>
      </w:r>
      <w:r>
        <w:t xml:space="preserve"> </w:t>
      </w:r>
      <w:r>
        <w:t xml:space="preserve">planning efficiency of the path were analysed. In the</w:t>
      </w:r>
      <w:r>
        <w:t xml:space="preserve"> </w:t>
      </w:r>
      <w:r>
        <w:t xml:space="preserve">working-memory-planning condition, obstacles disappeared before the response,</w:t>
      </w:r>
      <w:r>
        <w:t xml:space="preserve"> </w:t>
      </w:r>
      <w:r>
        <w:t xml:space="preserve">requiring their locations to be remembered while a route was planned; accuracy</w:t>
      </w:r>
      <w:r>
        <w:t xml:space="preserve"> </w:t>
      </w:r>
      <w:r>
        <w:t xml:space="preserve">and planning efficiency of the path were analysed.</w:t>
      </w:r>
    </w:p>
    <w:p>
      <w:pPr>
        <w:pStyle w:val="BodyText"/>
      </w:pPr>
      <w:r>
        <w:t xml:space="preserve">The efficiency variables represented the stored difference between tiles</w:t>
      </w:r>
      <w:r>
        <w:t xml:space="preserve"> </w:t>
      </w:r>
      <w:r>
        <w:t xml:space="preserve">traversed and the corresponding minimum-path tiles; lower values indicated a</w:t>
      </w:r>
      <w:r>
        <w:t xml:space="preserve"> </w:t>
      </w:r>
      <w:r>
        <w:t xml:space="preserve">path closer to the recorded minimum.</w:t>
      </w:r>
    </w:p>
    <w:bookmarkEnd w:id="24"/>
    <w:bookmarkStart w:id="25" w:name="abas-ii"/>
    <w:p>
      <w:pPr>
        <w:pStyle w:val="Heading3"/>
      </w:pPr>
      <w:r>
        <w:t xml:space="preserve">ABAS-II</w:t>
      </w:r>
    </w:p>
    <w:p>
      <w:pPr>
        <w:pStyle w:val="FirstParagraph"/>
      </w:pPr>
      <w:r>
        <w:t xml:space="preserve">Teachers completed the Adaptive Behavior Assessment System, Second Edition</w:t>
      </w:r>
      <w:r>
        <w:t xml:space="preserve"> </w:t>
      </w:r>
      <w:r>
        <w:t xml:space="preserve">(ABAS-II)</w:t>
      </w:r>
      <w:r>
        <w:t xml:space="preserve"> </w:t>
      </w:r>
      <w:r>
        <w:t xml:space="preserve">(Harrison and Oakland 2003; Ferri, Orsini, and Rea 2014)</w:t>
      </w:r>
      <w:r>
        <w:t xml:space="preserve"> </w:t>
      </w:r>
      <w:r>
        <w:t xml:space="preserve">to assess adaptive functioning and</w:t>
      </w:r>
      <w:r>
        <w:t xml:space="preserve"> </w:t>
      </w:r>
      <w:r>
        <w:t xml:space="preserve">everyday autonomy in the school context. The analysed standard scales were</w:t>
      </w:r>
      <w:r>
        <w:t xml:space="preserve"> </w:t>
      </w:r>
      <w:r>
        <w:t xml:space="preserve">Communication, Functional Academics, School Living, Health and Safety,</w:t>
      </w:r>
      <w:r>
        <w:t xml:space="preserve"> </w:t>
      </w:r>
      <w:r>
        <w:t xml:space="preserve">Leisure, Self-Care, Self-Direction, and Social functioning. A local complete</w:t>
      </w:r>
      <w:r>
        <w:t xml:space="preserve"> </w:t>
      </w:r>
      <w:r>
        <w:t xml:space="preserve">total was calculated only when all eight standard scales were present.</w:t>
      </w:r>
    </w:p>
    <w:bookmarkEnd w:id="25"/>
    <w:bookmarkStart w:id="26" w:name="brief-2"/>
    <w:p>
      <w:pPr>
        <w:pStyle w:val="Heading3"/>
      </w:pPr>
      <w:r>
        <w:t xml:space="preserve">BRIEF-2</w:t>
      </w:r>
    </w:p>
    <w:p>
      <w:pPr>
        <w:pStyle w:val="FirstParagraph"/>
      </w:pPr>
      <w:r>
        <w:t xml:space="preserve">Teachers completed the Behavior Rating Inventory of Executive Function,</w:t>
      </w:r>
      <w:r>
        <w:t xml:space="preserve"> </w:t>
      </w:r>
      <w:r>
        <w:t xml:space="preserve">Second Edition (BRIEF-2)</w:t>
      </w:r>
      <w:r>
        <w:t xml:space="preserve"> </w:t>
      </w:r>
      <w:r>
        <w:t xml:space="preserve">(Gioia et al. 2015)</w:t>
      </w:r>
      <w:r>
        <w:t xml:space="preserve">. The analysed scales were Inhibit,</w:t>
      </w:r>
      <w:r>
        <w:t xml:space="preserve"> </w:t>
      </w:r>
      <w:r>
        <w:t xml:space="preserve">Self-Monitor, Shift, Emotional Control, Initiate, Working Memory,</w:t>
      </w:r>
      <w:r>
        <w:t xml:space="preserve"> </w:t>
      </w:r>
      <w:r>
        <w:t xml:space="preserve">Plan/Organize, Task-Monitor, and Organization of Materials. The Behavioral</w:t>
      </w:r>
      <w:r>
        <w:t xml:space="preserve"> </w:t>
      </w:r>
      <w:r>
        <w:t xml:space="preserve">Regulation Index (BRI), Emotional Regulation Index (ERI), and Cognitive</w:t>
      </w:r>
      <w:r>
        <w:t xml:space="preserve"> </w:t>
      </w:r>
      <w:r>
        <w:t xml:space="preserve">Regulation Index (CRI) were also analysed. A local complete total was</w:t>
      </w:r>
      <w:r>
        <w:t xml:space="preserve"> </w:t>
      </w:r>
      <w:r>
        <w:t xml:space="preserve">calculated only when all nine standard scales were present. Higher BRIEF-2</w:t>
      </w:r>
      <w:r>
        <w:t xml:space="preserve"> </w:t>
      </w:r>
      <w:r>
        <w:t xml:space="preserve">scores indicated greater everyday executive-function difficulties.</w:t>
      </w:r>
    </w:p>
    <w:bookmarkEnd w:id="26"/>
    <w:bookmarkEnd w:id="27"/>
    <w:bookmarkStart w:id="28" w:name="statistical-analysis"/>
    <w:p>
      <w:pPr>
        <w:pStyle w:val="Heading2"/>
      </w:pPr>
      <w:r>
        <w:t xml:space="preserve">Statistical Analysis</w:t>
      </w:r>
    </w:p>
    <w:p>
      <w:pPr>
        <w:pStyle w:val="FirstParagraph"/>
      </w:pPr>
      <w:r>
        <w:t xml:space="preserve">Analyses were conducted in R using readxl, sandwich, openxlsx, and ggplot2. The</w:t>
      </w:r>
      <w:r>
        <w:t xml:space="preserve"> </w:t>
      </w:r>
      <w:r>
        <w:t xml:space="preserve">analysis was cross-sectional and restricted to the nine prespecified baseline</w:t>
      </w:r>
      <w:r>
        <w:t xml:space="preserve"> </w:t>
      </w:r>
      <w:r>
        <w:t xml:space="preserve">outcomes. Participant characteristics, missingness, variable distributions,</w:t>
      </w:r>
      <w:r>
        <w:t xml:space="preserve"> </w:t>
      </w:r>
      <w:r>
        <w:t xml:space="preserve">and Pearson correlation matrices were summarised descriptively; correlations</w:t>
      </w:r>
      <w:r>
        <w:t xml:space="preserve"> </w:t>
      </w:r>
      <w:r>
        <w:t xml:space="preserve">were not treated as an additional inferential testing family.</w:t>
      </w:r>
    </w:p>
    <w:p>
      <w:pPr>
        <w:pStyle w:val="BodyText"/>
      </w:pPr>
      <w:r>
        <w:t xml:space="preserve">For every questionnaire–outcome association, the outcome, questionnaire</w:t>
      </w:r>
      <w:r>
        <w:t xml:space="preserve"> </w:t>
      </w:r>
      <w:r>
        <w:t xml:space="preserve">predictor, and age were standardised within the relevant complete-case sample.</w:t>
      </w:r>
      <w:r>
        <w:t xml:space="preserve"> </w:t>
      </w:r>
      <w:r>
        <w:t xml:space="preserve">Age-adjusted ordinary least-squares models were then estimated:</w:t>
      </w:r>
    </w:p>
    <w:p>
      <w:pPr>
        <w:pStyle w:val="SourceCode"/>
      </w:pPr>
      <w:r>
        <w:rPr>
          <w:rStyle w:val="VerbatimChar"/>
        </w:rPr>
        <w:t xml:space="preserve">standardized outcome ~ standardized questionnaire predictor + standardized age</w:t>
      </w:r>
    </w:p>
    <w:p>
      <w:pPr>
        <w:pStyle w:val="FirstParagraph"/>
      </w:pPr>
      <w:r>
        <w:t xml:space="preserve">HC3 heteroskedasticity-consistent standard errors and 95% confidence intervals</w:t>
      </w:r>
      <w:r>
        <w:t xml:space="preserve"> </w:t>
      </w:r>
      <w:r>
        <w:t xml:space="preserve">were used</w:t>
      </w:r>
      <w:r>
        <w:t xml:space="preserve"> </w:t>
      </w:r>
      <w:r>
        <w:t xml:space="preserve">(MacKinnon and White 1985)</w:t>
      </w:r>
      <w:r>
        <w:t xml:space="preserve">. Standardised β, raw</w:t>
      </w:r>
      <w:r>
        <w:t xml:space="preserve"> </w:t>
      </w:r>
      <w:r>
        <w:rPr>
          <w:i/>
          <w:iCs/>
        </w:rPr>
        <w:t xml:space="preserve">p</w:t>
      </w:r>
      <w:r>
        <w:t xml:space="preserve">, adjusted and unadjusted</w:t>
      </w:r>
      <w:r>
        <w:t xml:space="preserve"> </w:t>
      </w:r>
      <w:r>
        <w:t xml:space="preserve">R², the increase in R² over an age-only model, and partial R² were retained.</w:t>
      </w:r>
      <w:r>
        <w:t xml:space="preserve"> </w:t>
      </w:r>
      <w:r>
        <w:t xml:space="preserve">The ABAS-II and BRIEF-2 totals were first tested separately. A joint-total</w:t>
      </w:r>
      <w:r>
        <w:t xml:space="preserve"> </w:t>
      </w:r>
      <w:r>
        <w:t xml:space="preserve">model additionally included both totals simultaneously. Standard ABAS-II</w:t>
      </w:r>
      <w:r>
        <w:t xml:space="preserve"> </w:t>
      </w:r>
      <w:r>
        <w:t xml:space="preserve">scales, standard BRIEF-2 scales, and BRIEF-2 indices were otherwise entered</w:t>
      </w:r>
      <w:r>
        <w:t xml:space="preserve"> </w:t>
      </w:r>
      <w:r>
        <w:t xml:space="preserve">one at a time with age.</w:t>
      </w:r>
    </w:p>
    <w:p>
      <w:pPr>
        <w:pStyle w:val="BodyText"/>
      </w:pPr>
      <w:r>
        <w:t xml:space="preserve">Benjamini–Hochberg false-discovery-rate correction</w:t>
      </w:r>
      <w:r>
        <w:t xml:space="preserve"> </w:t>
      </w:r>
      <w:r>
        <w:t xml:space="preserve">(Benjamini and Hochberg 1995)</w:t>
      </w:r>
      <w:r>
        <w:t xml:space="preserve"> </w:t>
      </w:r>
      <w:r>
        <w:t xml:space="preserve">was</w:t>
      </w:r>
      <w:r>
        <w:t xml:space="preserve"> </w:t>
      </w:r>
      <w:r>
        <w:t xml:space="preserve">applied separately to five prespecified coefficient families: separate totals</w:t>
      </w:r>
      <w:r>
        <w:t xml:space="preserve"> </w:t>
      </w:r>
      <w:r>
        <w:t xml:space="preserve">(18 tests), joint totals (18), ABAS-II scales (72), BRIEF-2 scales (81), and</w:t>
      </w:r>
      <w:r>
        <w:t xml:space="preserve"> </w:t>
      </w:r>
      <w:r>
        <w:t xml:space="preserve">BRIEF-2 indices (27). Statistical significance was defined as FDR-adjusted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&lt; .05. Variance-inflation factors were calculated for the joint-total</w:t>
      </w:r>
      <w:r>
        <w:t xml:space="preserve"> </w:t>
      </w:r>
      <w:r>
        <w:t xml:space="preserve">models. For FDR-significant models, residual shape, leverage, externally</w:t>
      </w:r>
      <w:r>
        <w:t xml:space="preserve"> </w:t>
      </w:r>
      <w:r>
        <w:t xml:space="preserve">studentised residuals, Breusch–Pagan statistics, and Cook’s distance were</w:t>
      </w:r>
      <w:r>
        <w:t xml:space="preserve"> </w:t>
      </w:r>
      <w:r>
        <w:t xml:space="preserve">examined. The threshold 4/</w:t>
      </w:r>
      <w:r>
        <w:rPr>
          <w:i/>
          <w:iCs/>
        </w:rPr>
        <w:t xml:space="preserve">n</w:t>
      </w:r>
      <w:r>
        <w:t xml:space="preserve"> </w:t>
      </w:r>
      <w:r>
        <w:t xml:space="preserve">was used to flag influential observations for</w:t>
      </w:r>
      <w:r>
        <w:t xml:space="preserve"> </w:t>
      </w:r>
      <w:r>
        <w:t xml:space="preserve">reporting only; no observation was automatically removed. Reporting was</w:t>
      </w:r>
      <w:r>
        <w:t xml:space="preserve"> </w:t>
      </w:r>
      <w:r>
        <w:t xml:space="preserve">guided by STROBE and SAMPL recommendations</w:t>
      </w:r>
      <w:r>
        <w:t xml:space="preserve"> </w:t>
      </w:r>
      <w:r>
        <w:t xml:space="preserve">(Elm et al. 2007; Lang and Altman 2015)</w:t>
      </w:r>
      <w:r>
        <w:t xml:space="preserve">.</w:t>
      </w:r>
    </w:p>
    <w:bookmarkEnd w:id="28"/>
    <w:bookmarkEnd w:id="29"/>
    <w:bookmarkStart w:id="44" w:name="results"/>
    <w:p>
      <w:pPr>
        <w:pStyle w:val="Heading1"/>
      </w:pPr>
      <w:r>
        <w:t xml:space="preserve">Results</w:t>
      </w:r>
    </w:p>
    <w:bookmarkStart w:id="32" w:name="participants-and-descriptive-statistics"/>
    <w:p>
      <w:pPr>
        <w:pStyle w:val="Heading2"/>
      </w:pPr>
      <w:r>
        <w:t xml:space="preserve">Participants and Descriptive Statistics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participa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Participant flow and composition of the analytic sample.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 database participants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Excluded by Raven screening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Primary analytic sample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Age,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Age, SD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Age, minimum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Age, maximum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54.00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45.00</w:t>
                  </w:r>
                </w:p>
              </w:tc>
            </w:tr>
          </w:tbl>
          <w:bookmarkEnd w:id="30"/>
          <w:p/>
        </w:tc>
      </w:tr>
    </w:tbl>
    <w:p>
      <w:pPr>
        <w:pStyle w:val="BodyText"/>
      </w:pPr>
      <w:hyperlink w:anchor="tbl-participant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transition from the source database to the</w:t>
      </w:r>
      <w:r>
        <w:t xml:space="preserve"> </w:t>
      </w:r>
      <w:r>
        <w:t xml:space="preserve">Raven-screened analytic sample.</w:t>
      </w:r>
      <w:r>
        <w:t xml:space="preserve"> </w:t>
      </w:r>
      <w:hyperlink w:anchor="tbl-outcome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describes the nine baseline outcomes. The complete</w:t>
      </w:r>
      <w:r>
        <w:t xml:space="preserve"> </w:t>
      </w:r>
      <w:r>
        <w:t xml:space="preserve">ABAS-II total was available for 95 children and the complete BRIEF-2 total for</w:t>
      </w:r>
      <w:r>
        <w:t xml:space="preserve"> </w:t>
      </w:r>
      <w:r>
        <w:t xml:space="preserve">96 children; model-specific sample sizes also reflected outcome missingness.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outcom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Descriptive statistics for the nine baseline outcomes.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Missing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Corsi forward span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Corsi backward span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Tower of London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24.65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33.00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Tower of London rule violations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Moles working-memory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Moles planning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Moles planning tile difference (EFF)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-11.00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56.00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Moles WM-planning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Moles WM-planning tile difference (EFF)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-36.00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19.00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The descriptive audit retained one negative</w:t>
      </w:r>
      <w:r>
        <w:t xml:space="preserve"> </w:t>
      </w:r>
      <w:r>
        <w:rPr>
          <w:rStyle w:val="VerbatimChar"/>
        </w:rPr>
        <w:t xml:space="preserve">PLANNING_EFF</w:t>
      </w:r>
      <w:r>
        <w:t xml:space="preserve"> </w:t>
      </w:r>
      <w:r>
        <w:t xml:space="preserve">value and three</w:t>
      </w:r>
      <w:r>
        <w:t xml:space="preserve"> </w:t>
      </w:r>
      <w:r>
        <w:t xml:space="preserve">negative</w:t>
      </w:r>
      <w:r>
        <w:t xml:space="preserve"> </w:t>
      </w:r>
      <w:r>
        <w:rPr>
          <w:rStyle w:val="VerbatimChar"/>
        </w:rPr>
        <w:t xml:space="preserve">PWM_EFF</w:t>
      </w:r>
      <w:r>
        <w:t xml:space="preserve"> </w:t>
      </w:r>
      <w:r>
        <w:t xml:space="preserve">values. No case was changed or excluded on the basis of an</w:t>
      </w:r>
      <w:r>
        <w:t xml:space="preserve"> </w:t>
      </w:r>
      <w:r>
        <w:t xml:space="preserve">EFF value.</w:t>
      </w:r>
    </w:p>
    <w:bookmarkEnd w:id="32"/>
    <w:bookmarkStart w:id="42" w:name="primary-age-adjusted-models"/>
    <w:p>
      <w:pPr>
        <w:pStyle w:val="Heading2"/>
      </w:pPr>
      <w:r>
        <w:t xml:space="preserve">Primary Age-Adjusted Models</w:t>
      </w:r>
    </w:p>
    <w:p>
      <w:pPr>
        <w:pStyle w:val="FirstParagraph"/>
      </w:pPr>
      <w:r>
        <w:t xml:space="preserve">The screened analytic sample comprised 99 children. Across the five prespecified</w:t>
      </w:r>
      <w:r>
        <w:t xml:space="preserve"> </w:t>
      </w:r>
      <w:r>
        <w:t xml:space="preserve">FDR families, 216 questionnaire coefficient tests were estimated and 22 survived</w:t>
      </w:r>
      <w:r>
        <w:t xml:space="preserve"> </w:t>
      </w:r>
      <w:r>
        <w:t xml:space="preserve">Benjamini–Hochberg correction. These coefficients should not be interpreted as</w:t>
      </w:r>
      <w:r>
        <w:t xml:space="preserve"> </w:t>
      </w:r>
      <w:r>
        <w:t xml:space="preserve">22 independent phenomena because correlated questionnaire scales frequently mapped</w:t>
      </w:r>
      <w:r>
        <w:t xml:space="preserve"> </w:t>
      </w:r>
      <w:r>
        <w:t xml:space="preserve">onto the same cognitive outcomes.</w:t>
      </w:r>
    </w:p>
    <w:p>
      <w:pPr>
        <w:pStyle w:val="BodyText"/>
      </w:pPr>
      <w:r>
        <w:t xml:space="preserve">Five FDR-significant associations involved questionnaire total scores, and 17 involved subscales or BRIEF-2 indices.</w:t>
      </w:r>
    </w:p>
    <w:p>
      <w:pPr>
        <w:pStyle w:val="BodyText"/>
      </w:pPr>
      <w:r>
        <w:t xml:space="preserve">Planning accuracy was associated with 4 questionnaire predictors after FDR correction. No FDR-significant association was observed for either excess-tile outcome, PWM accuracy, or Corsi forward span.</w:t>
      </w:r>
    </w:p>
    <w:p>
      <w:pPr>
        <w:pStyle w:val="BodyText"/>
      </w:pPr>
      <w:r>
        <w:t xml:space="preserve">The distribution of significant results across the prespecified FDR families is</w:t>
      </w:r>
      <w:r>
        <w:t xml:space="preserve"> </w:t>
      </w:r>
      <w:r>
        <w:t xml:space="preserve">reported in</w:t>
      </w:r>
      <w:r>
        <w:t xml:space="preserve"> </w:t>
      </w:r>
      <w:hyperlink w:anchor="tbl-fdr-families">
        <w:r>
          <w:rPr>
            <w:rStyle w:val="Hyperlink"/>
          </w:rPr>
          <w:t xml:space="preserve">Table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fdr-famili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Results of FDR correction within each prespecified family.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FDR family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Raw p&lt;.05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FDR q&lt;.05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Median 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abas_subscales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brief_indices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brief_subscales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totals_joint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totals_separate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</w:t>
                  </w:r>
                </w:p>
              </w:tc>
            </w:tr>
          </w:tbl>
          <w:bookmarkEnd w:id="33"/>
          <w:p/>
        </w:tc>
      </w:tr>
    </w:tbl>
    <w:bookmarkStart w:id="35" w:name="complete-questionnaire-totals"/>
    <w:p>
      <w:pPr>
        <w:pStyle w:val="Heading3"/>
      </w:pPr>
      <w:r>
        <w:t xml:space="preserve">Complete Questionnaire Totals</w:t>
      </w:r>
    </w:p>
    <w:p>
      <w:pPr>
        <w:pStyle w:val="FirstParagraph"/>
      </w:pPr>
      <w:r>
        <w:t xml:space="preserve">The FDR-significant associations involving questionnaire total scores are</w:t>
      </w:r>
      <w:r>
        <w:t xml:space="preserve"> </w:t>
      </w:r>
      <w:r>
        <w:t xml:space="preserve">reported in</w:t>
      </w:r>
      <w:r>
        <w:t xml:space="preserve"> </w:t>
      </w:r>
      <w:hyperlink w:anchor="tbl-total-scores">
        <w:r>
          <w:rPr>
            <w:rStyle w:val="Hyperlink"/>
          </w:rPr>
          <w:t xml:space="preserve">Table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total-scor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FDR-significant associations involving questionnaire total scores.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ΔR²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R²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ABAS-II complete 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Tower of London rule violations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[-0.691, -0.164]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BRIEF-2 complete 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Tower of London rule violations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[0.130, 0.589]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BRIEF-2 complete 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Corsi backward span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[-0.426, -0.079]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BRIEF-2 complete 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Moles planning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[-0.351, -0.053]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ABAS-II complete 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Tower of London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[0.093, 0.628]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0.089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0.099</w:t>
                  </w:r>
                </w:p>
              </w:tc>
            </w:tr>
          </w:tbl>
          <w:bookmarkEnd w:id="34"/>
          <w:p/>
        </w:tc>
      </w:tr>
    </w:tbl>
    <w:bookmarkEnd w:id="35"/>
    <w:bookmarkStart w:id="41" w:name="questionnaire-scales-and-brief-2-indices"/>
    <w:p>
      <w:pPr>
        <w:pStyle w:val="Heading3"/>
      </w:pPr>
      <w:r>
        <w:t xml:space="preserve">Questionnaire Scales and BRIEF-2 Indices</w:t>
      </w:r>
    </w:p>
    <w:p>
      <w:pPr>
        <w:pStyle w:val="FirstParagraph"/>
      </w:pPr>
      <w:r>
        <w:t xml:space="preserve">The corresponding results for questionnaire scales and BRIEF-2 indices are</w:t>
      </w:r>
      <w:r>
        <w:t xml:space="preserve"> </w:t>
      </w:r>
      <w:r>
        <w:t xml:space="preserve">reported in</w:t>
      </w:r>
      <w:r>
        <w:t xml:space="preserve"> </w:t>
      </w:r>
      <w:hyperlink w:anchor="tbl-scales-indices">
        <w:r>
          <w:rPr>
            <w:rStyle w:val="Hyperlink"/>
          </w:rPr>
          <w:t xml:space="preserve">Table 5</w:t>
        </w:r>
      </w:hyperlink>
      <w:r>
        <w:t xml:space="preserve">. All FDR-significant associations are displayed</w:t>
      </w:r>
      <w:r>
        <w:t xml:space="preserve"> </w:t>
      </w:r>
      <w:r>
        <w:t xml:space="preserve">with their 95% confidence intervals in</w:t>
      </w:r>
      <w:r>
        <w:t xml:space="preserve"> </w:t>
      </w:r>
      <w:hyperlink w:anchor="fig-significant-associations">
        <w:r>
          <w:rPr>
            <w:rStyle w:val="Hyperlink"/>
          </w:rPr>
          <w:t xml:space="preserve">Figure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scales-indic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FDR-significant associations involving questionnaire scales and BRIEF-2 indices.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ΔR²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R²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ABAS Functional Academics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Corsi backward span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[0.188, 0.605]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&lt;.001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ABAS Self-Direction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Tower of London rule violations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[-0.657, -0.178]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&lt;.001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ABAS Self-Direction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Tower of London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[0.127, 0.563]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ABAS Communication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Corsi backward span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[0.120, 0.546]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ABAS Self-Care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Tower of London rule violations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[-0.674, -0.139]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ABAS Social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Moles planning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[0.072, 0.387]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ABAS Health and Safety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Tower of London rule violations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[-0.531, -0.095]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0.087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ABAS Communication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Moles working-memory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[0.108, 0.626]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BRIEF Cognitive Regulation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Corsi backward span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[-0.463, -0.126]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&lt;.001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BRIEF Cognitive Regulation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Tower of London rule violations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[0.128, 0.592]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BRIEF Behavioral Regulation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Moles planning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[-0.497, -0.099]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0.089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BRIEF Shift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Corsi backward span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[-0.439, -0.110]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0.083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BRIEF Task-Monitor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Corsi backward span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[-0.462, -0.113]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BRIEF Inhibit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Moles planning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[-0.548, -0.130]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BRIEF Initiate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Corsi backward span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[-0.433, -0.102]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BRIEF Working Memory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Corsi backward span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[-0.460, -0.103]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BRIEF Working Memory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Tower of London rule violations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[0.109, 0.526]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.038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0.109</w:t>
                  </w:r>
                </w:p>
              </w:tc>
            </w:tr>
          </w:tbl>
          <w:bookmarkEnd w:id="3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significant-associations"/>
          <w:p>
            <w:pPr>
              <w:pStyle w:val="Compact"/>
              <w:jc w:val="center"/>
            </w:pPr>
            <w:r>
              <w:drawing>
                <wp:inline>
                  <wp:extent cx="5067300" cy="468218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figures/primary_forest_plo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682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FDR-significant standardised coefficients from the primary age-adjusted models. Blue markers represent ABAS-II predictors and orange markers represent BRIEF-2 predictors.</w:t>
            </w:r>
          </w:p>
          <w:bookmarkEnd w:id="40"/>
        </w:tc>
      </w:tr>
    </w:tbl>
    <w:bookmarkEnd w:id="41"/>
    <w:bookmarkEnd w:id="42"/>
    <w:bookmarkStart w:id="43" w:name="model-diagnostics"/>
    <w:p>
      <w:pPr>
        <w:pStyle w:val="Heading2"/>
      </w:pPr>
      <w:r>
        <w:t xml:space="preserve">Model Diagnostics</w:t>
      </w:r>
    </w:p>
    <w:p>
      <w:pPr>
        <w:pStyle w:val="FirstParagraph"/>
      </w:pPr>
      <w:r>
        <w:t xml:space="preserve">Diagnostic quantities for every FDR-significant model are reported in the</w:t>
      </w:r>
      <w:r>
        <w:t xml:space="preserve"> </w:t>
      </w:r>
      <w:r>
        <w:t xml:space="preserve">analysis workbook and accompanying CSV table. They were used to characterise</w:t>
      </w:r>
      <w:r>
        <w:t xml:space="preserve"> </w:t>
      </w:r>
      <w:r>
        <w:t xml:space="preserve">model fit and potentially influential observations; no participant was removed</w:t>
      </w:r>
      <w:r>
        <w:t xml:space="preserve"> </w:t>
      </w:r>
      <w:r>
        <w:t xml:space="preserve">on the basis of these diagnostics.</w:t>
      </w:r>
    </w:p>
    <w:bookmarkEnd w:id="43"/>
    <w:bookmarkEnd w:id="44"/>
    <w:bookmarkStart w:id="65" w:name="bibliography"/>
    <w:p>
      <w:pPr>
        <w:pStyle w:val="Heading1"/>
      </w:pPr>
      <w:r>
        <w:t xml:space="preserve">References</w:t>
      </w:r>
    </w:p>
    <w:bookmarkStart w:id="64" w:name="refs"/>
    <w:bookmarkStart w:id="46" w:name="ref-benjamini1995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</w:t>
      </w:r>
      <w:r>
        <w:t xml:space="preserve"> </w:t>
      </w:r>
      <w:r>
        <w:t xml:space="preserve">57 (1): 289–300.</w:t>
      </w:r>
      <w:r>
        <w:t xml:space="preserve"> </w:t>
      </w:r>
      <w:hyperlink r:id="rId4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46"/>
    <w:bookmarkStart w:id="48" w:name="ref-bocchi2022"/>
    <w:p>
      <w:pPr>
        <w:pStyle w:val="Bibliography"/>
      </w:pPr>
      <w:r>
        <w:t xml:space="preserve">Bocchi, Alessia, Massimiliano Palmiero, and Laura Piccardi. 2022.</w:t>
      </w:r>
      <w:r>
        <w:t xml:space="preserve"> </w:t>
      </w:r>
      <w:r>
        <w:t xml:space="preserve">“Walking on a Minefield: Planning, Remembering, and Avoiding Obstacles: Preliminary Findings.”</w:t>
      </w:r>
      <w:r>
        <w:t xml:space="preserve"> </w:t>
      </w:r>
      <w:r>
        <w:rPr>
          <w:i/>
          <w:iCs/>
        </w:rPr>
        <w:t xml:space="preserve">Experimental Brain Research</w:t>
      </w:r>
      <w:r>
        <w:t xml:space="preserve"> </w:t>
      </w:r>
      <w:r>
        <w:t xml:space="preserve">240 (7–8): 1921–31.</w:t>
      </w:r>
      <w:r>
        <w:t xml:space="preserve"> </w:t>
      </w:r>
      <w:hyperlink r:id="rId47">
        <w:r>
          <w:rPr>
            <w:rStyle w:val="Hyperlink"/>
          </w:rPr>
          <w:t xml:space="preserve">https://doi.org/10.1007/s00221-022-06391-x</w:t>
        </w:r>
      </w:hyperlink>
      <w:r>
        <w:t xml:space="preserve">.</w:t>
      </w:r>
    </w:p>
    <w:bookmarkEnd w:id="48"/>
    <w:bookmarkStart w:id="49" w:name="ref-corsi1972"/>
    <w:p>
      <w:pPr>
        <w:pStyle w:val="Bibliography"/>
      </w:pPr>
      <w:r>
        <w:t xml:space="preserve">Corsi, Philip Michael. 1972.</w:t>
      </w:r>
      <w:r>
        <w:t xml:space="preserve"> </w:t>
      </w:r>
      <w:r>
        <w:t xml:space="preserve">“Human Memory and the Medial Temporal Region of the Brain.”</w:t>
      </w:r>
      <w:r>
        <w:t xml:space="preserve"> </w:t>
      </w:r>
      <w:r>
        <w:t xml:space="preserve">PhD thesis, McGill University.</w:t>
      </w:r>
    </w:p>
    <w:bookmarkEnd w:id="49"/>
    <w:bookmarkStart w:id="51" w:name="ref-vonelm2007"/>
    <w:p>
      <w:pPr>
        <w:pStyle w:val="Bibliography"/>
      </w:pPr>
      <w:r>
        <w:t xml:space="preserve">Elm, Erik von, Douglas G. Altman, Matthias Egger, Stuart J. Pocock, Peter C. Gøtzsche, and Jan P. Vandenbroucke. 2007.</w:t>
      </w:r>
      <w:r>
        <w:t xml:space="preserve"> </w:t>
      </w:r>
      <w:r>
        <w:t xml:space="preserve">“The Strengthening the Reporting of Observational Studies in Epidemiology (STROBE) Statement: Guidelines for Reporting Observational Studies.”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 </w:t>
      </w:r>
      <w:r>
        <w:t xml:space="preserve">4 (10): e296.</w:t>
      </w:r>
      <w:r>
        <w:t xml:space="preserve"> </w:t>
      </w:r>
      <w:hyperlink r:id="rId50">
        <w:r>
          <w:rPr>
            <w:rStyle w:val="Hyperlink"/>
          </w:rPr>
          <w:t xml:space="preserve">https://doi.org/10.1371/journal.pmed.0040296</w:t>
        </w:r>
      </w:hyperlink>
      <w:r>
        <w:t xml:space="preserve">.</w:t>
      </w:r>
    </w:p>
    <w:bookmarkEnd w:id="51"/>
    <w:bookmarkStart w:id="52" w:name="ref-ferri2014"/>
    <w:p>
      <w:pPr>
        <w:pStyle w:val="Bibliography"/>
      </w:pPr>
      <w:r>
        <w:t xml:space="preserve">Ferri, R., A. Orsini, and M. Rea. 2014.</w:t>
      </w:r>
      <w:r>
        <w:t xml:space="preserve"> </w:t>
      </w:r>
      <w:r>
        <w:rPr>
          <w:i/>
          <w:iCs/>
        </w:rPr>
        <w:t xml:space="preserve">Adaptive Behavior Assessment System, Second Edition</w:t>
      </w:r>
      <w:r>
        <w:t xml:space="preserve">. Firenze, Italy: Giunti Psychometrics.</w:t>
      </w:r>
    </w:p>
    <w:bookmarkEnd w:id="52"/>
    <w:bookmarkStart w:id="53" w:name="ref-gioia2015"/>
    <w:p>
      <w:pPr>
        <w:pStyle w:val="Bibliography"/>
      </w:pPr>
      <w:r>
        <w:t xml:space="preserve">Gioia, G. A., P. K. Isquith, S. C. Guy, and L. Kenworthy. 2015.</w:t>
      </w:r>
      <w:r>
        <w:t xml:space="preserve"> </w:t>
      </w:r>
      <w:r>
        <w:rPr>
          <w:i/>
          <w:iCs/>
        </w:rPr>
        <w:t xml:space="preserve">Behavior Rating Inventory of Executive Function, Second Edition: Professional Manual</w:t>
      </w:r>
      <w:r>
        <w:t xml:space="preserve">. Psychological Assessment Resources.</w:t>
      </w:r>
    </w:p>
    <w:bookmarkEnd w:id="53"/>
    <w:bookmarkStart w:id="54" w:name="ref-harrison2003"/>
    <w:p>
      <w:pPr>
        <w:pStyle w:val="Bibliography"/>
      </w:pPr>
      <w:r>
        <w:t xml:space="preserve">Harrison, P. L., and T. Oakland. 2003.</w:t>
      </w:r>
      <w:r>
        <w:t xml:space="preserve"> </w:t>
      </w:r>
      <w:r>
        <w:rPr>
          <w:i/>
          <w:iCs/>
        </w:rPr>
        <w:t xml:space="preserve">Adaptive Behavior Assessment System, Second Edition</w:t>
      </w:r>
      <w:r>
        <w:t xml:space="preserve">. Harcourt.</w:t>
      </w:r>
    </w:p>
    <w:bookmarkEnd w:id="54"/>
    <w:bookmarkStart w:id="56" w:name="ref-lang2015"/>
    <w:p>
      <w:pPr>
        <w:pStyle w:val="Bibliography"/>
      </w:pPr>
      <w:r>
        <w:t xml:space="preserve">Lang, Thomas A., and Douglas G. Altman. 2015.</w:t>
      </w:r>
      <w:r>
        <w:t xml:space="preserve"> </w:t>
      </w:r>
      <w:r>
        <w:t xml:space="preserve">“Basic Statistical Reporting for Articles Published in Biomedical Journals: The SAMPL Guidelines.”</w:t>
      </w:r>
      <w:r>
        <w:t xml:space="preserve"> </w:t>
      </w:r>
      <w:r>
        <w:rPr>
          <w:i/>
          <w:iCs/>
        </w:rPr>
        <w:t xml:space="preserve">International Journal of Nursing Studies</w:t>
      </w:r>
      <w:r>
        <w:t xml:space="preserve"> </w:t>
      </w:r>
      <w:r>
        <w:t xml:space="preserve">52 (1): 5–9.</w:t>
      </w:r>
      <w:r>
        <w:t xml:space="preserve"> </w:t>
      </w:r>
      <w:hyperlink r:id="rId55">
        <w:r>
          <w:rPr>
            <w:rStyle w:val="Hyperlink"/>
          </w:rPr>
          <w:t xml:space="preserve">https://doi.org/10.1016/j.ijnurstu.2014.09.006</w:t>
        </w:r>
      </w:hyperlink>
      <w:r>
        <w:t xml:space="preserve">.</w:t>
      </w:r>
    </w:p>
    <w:bookmarkEnd w:id="56"/>
    <w:bookmarkStart w:id="58" w:name="ref-mackinnon1985"/>
    <w:p>
      <w:pPr>
        <w:pStyle w:val="Bibliography"/>
      </w:pPr>
      <w:r>
        <w:t xml:space="preserve">MacKinnon, James G., and Halbert White. 1985.</w:t>
      </w:r>
      <w:r>
        <w:t xml:space="preserve"> </w:t>
      </w:r>
      <w:r>
        <w:t xml:space="preserve">“Some Heteroskedasticity-Consistent Covariance Matrix Estimators with Improved Finite Sample Properties.”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 </w:t>
      </w:r>
      <w:r>
        <w:t xml:space="preserve">29 (3): 305–25.</w:t>
      </w:r>
      <w:r>
        <w:t xml:space="preserve"> </w:t>
      </w:r>
      <w:hyperlink r:id="rId57">
        <w:r>
          <w:rPr>
            <w:rStyle w:val="Hyperlink"/>
          </w:rPr>
          <w:t xml:space="preserve">https://doi.org/10.1016/0304-4076(85)90158-7</w:t>
        </w:r>
      </w:hyperlink>
      <w:r>
        <w:t xml:space="preserve">.</w:t>
      </w:r>
    </w:p>
    <w:bookmarkEnd w:id="58"/>
    <w:bookmarkStart w:id="60" w:name="ref-monaco2013span"/>
    <w:p>
      <w:pPr>
        <w:pStyle w:val="Bibliography"/>
      </w:pPr>
      <w:r>
        <w:t xml:space="preserve">Monaco, M., A. Costa, C. Caltagirone, G. A. Carlesimo, et al. 2013.</w:t>
      </w:r>
      <w:r>
        <w:t xml:space="preserve"> </w:t>
      </w:r>
      <w:r>
        <w:t xml:space="preserve">“Forward and Backward Span for Verbal and Visuo-Spatial Data: Standardization and Normative Data from an Italian Adult Population.”</w:t>
      </w:r>
      <w:r>
        <w:t xml:space="preserve"> </w:t>
      </w:r>
      <w:r>
        <w:rPr>
          <w:i/>
          <w:iCs/>
        </w:rPr>
        <w:t xml:space="preserve">Neurological Sciences</w:t>
      </w:r>
      <w:r>
        <w:t xml:space="preserve"> </w:t>
      </w:r>
      <w:r>
        <w:t xml:space="preserve">34: 749–54.</w:t>
      </w:r>
      <w:r>
        <w:t xml:space="preserve"> </w:t>
      </w:r>
      <w:hyperlink r:id="rId59">
        <w:r>
          <w:rPr>
            <w:rStyle w:val="Hyperlink"/>
          </w:rPr>
          <w:t xml:space="preserve">https://doi.org/10.1007/s10072-012-1130-x</w:t>
        </w:r>
      </w:hyperlink>
      <w:r>
        <w:t xml:space="preserve">.</w:t>
      </w:r>
    </w:p>
    <w:bookmarkEnd w:id="60"/>
    <w:bookmarkStart w:id="61" w:name="ref-raven1995"/>
    <w:p>
      <w:pPr>
        <w:pStyle w:val="Bibliography"/>
      </w:pPr>
      <w:r>
        <w:t xml:space="preserve">Raven, J. C. 1995.</w:t>
      </w:r>
      <w:r>
        <w:t xml:space="preserve"> </w:t>
      </w:r>
      <w:r>
        <w:rPr>
          <w:i/>
          <w:iCs/>
        </w:rPr>
        <w:t xml:space="preserve">Coloured Progressive Matrices Sets a, Ab, b: Manual Sections 1 and 2</w:t>
      </w:r>
      <w:r>
        <w:t xml:space="preserve">. Oxford, UK: Oxford Psychologists Press.</w:t>
      </w:r>
    </w:p>
    <w:bookmarkEnd w:id="61"/>
    <w:bookmarkStart w:id="63" w:name="ref-shallice1982"/>
    <w:p>
      <w:pPr>
        <w:pStyle w:val="Bibliography"/>
      </w:pPr>
      <w:r>
        <w:t xml:space="preserve">Shallice, Tim. 1982.</w:t>
      </w:r>
      <w:r>
        <w:t xml:space="preserve"> </w:t>
      </w:r>
      <w:r>
        <w:t xml:space="preserve">“Specific Impairments of Planning.”</w:t>
      </w:r>
      <w:r>
        <w:t xml:space="preserve"> </w:t>
      </w:r>
      <w:r>
        <w:rPr>
          <w:i/>
          <w:iCs/>
        </w:rPr>
        <w:t xml:space="preserve">Philosophical Transactions of the Royal Society of London. Series B, Biological Sciences</w:t>
      </w:r>
      <w:r>
        <w:t xml:space="preserve"> </w:t>
      </w:r>
      <w:r>
        <w:t xml:space="preserve">298 (1089): 199–209.</w:t>
      </w:r>
      <w:r>
        <w:t xml:space="preserve"> </w:t>
      </w:r>
      <w:hyperlink r:id="rId62">
        <w:r>
          <w:rPr>
            <w:rStyle w:val="Hyperlink"/>
          </w:rPr>
          <w:t xml:space="preserve">https://doi.org/10.1098/rstb.1982.0082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hyperlink" Id="rId47" Target="https://doi.org/10.1007/s00221-022-06391-x" TargetMode="External" /><Relationship Type="http://schemas.openxmlformats.org/officeDocument/2006/relationships/hyperlink" Id="rId59" Target="https://doi.org/10.1007/s10072-012-1130-x" TargetMode="External" /><Relationship Type="http://schemas.openxmlformats.org/officeDocument/2006/relationships/hyperlink" Id="rId57" Target="https://doi.org/10.1016/0304-4076(85)90158-7" TargetMode="External" /><Relationship Type="http://schemas.openxmlformats.org/officeDocument/2006/relationships/hyperlink" Id="rId55" Target="https://doi.org/10.1016/j.ijnurstu.2014.09.006" TargetMode="External" /><Relationship Type="http://schemas.openxmlformats.org/officeDocument/2006/relationships/hyperlink" Id="rId62" Target="https://doi.org/10.1098/rstb.1982.0082" TargetMode="External" /><Relationship Type="http://schemas.openxmlformats.org/officeDocument/2006/relationships/hyperlink" Id="rId45" Target="https://doi.org/10.1111/j.2517-6161.1995.tb02031.x" TargetMode="External" /><Relationship Type="http://schemas.openxmlformats.org/officeDocument/2006/relationships/hyperlink" Id="rId50" Target="https://doi.org/10.1371/journal.pmed.004029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doi.org/10.1007/s00221-022-06391-x" TargetMode="External" /><Relationship Type="http://schemas.openxmlformats.org/officeDocument/2006/relationships/hyperlink" Id="rId59" Target="https://doi.org/10.1007/s10072-012-1130-x" TargetMode="External" /><Relationship Type="http://schemas.openxmlformats.org/officeDocument/2006/relationships/hyperlink" Id="rId57" Target="https://doi.org/10.1016/0304-4076(85)90158-7" TargetMode="External" /><Relationship Type="http://schemas.openxmlformats.org/officeDocument/2006/relationships/hyperlink" Id="rId55" Target="https://doi.org/10.1016/j.ijnurstu.2014.09.006" TargetMode="External" /><Relationship Type="http://schemas.openxmlformats.org/officeDocument/2006/relationships/hyperlink" Id="rId62" Target="https://doi.org/10.1098/rstb.1982.0082" TargetMode="External" /><Relationship Type="http://schemas.openxmlformats.org/officeDocument/2006/relationships/hyperlink" Id="rId45" Target="https://doi.org/10.1111/j.2517-6161.1995.tb02031.x" TargetMode="External" /><Relationship Type="http://schemas.openxmlformats.org/officeDocument/2006/relationships/hyperlink" Id="rId50" Target="https://doi.org/10.1371/journal.pmed.004029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Adaptive Functioning, Everyday Executive Functioning, and Visuospatial Abilities in Children: A Cross-Sectional Study</dc:title>
  <dc:creator>Sofia Pepe, Greta Fabiani, and Laura Piccardi</dc:creator>
  <cp:keywords/>
  <dcterms:created xsi:type="dcterms:W3CDTF">2026-09-23T16:48:11Z</dcterms:created>
  <dcterms:modified xsi:type="dcterms:W3CDTF">2026-09-23T16:48:11Z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../references/references.bib</vt:lpwstr>
  </property>
  <property fmtid="{D5CDD505-2E9C-101B-9397-08002B2CF9AE}" pid="5" name="by-author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ference-section-title">
    <vt:lpwstr>References</vt:lpwstr>
  </property>
  <property fmtid="{D5CDD505-2E9C-101B-9397-08002B2CF9AE}" pid="11" name="toc-title">
    <vt:lpwstr>Table of contents</vt:lpwstr>
  </property>
</Properties>
</file>