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F12-UC4 — Comparer avec les travaux existants</w:t>
      </w:r>
    </w:p>
    <w:p>
      <w:r>
        <w:t>Use Case: F12-UC4 (LOT1)   |   Date: May 2026   |   Author: Sofya Tadevosyan</w:t>
      </w:r>
    </w:p>
    <w:p/>
    <w:p>
      <w:pPr>
        <w:pStyle w:val="Heading1"/>
      </w:pPr>
      <w:r>
        <w:t>1. Objective</w:t>
      </w:r>
    </w:p>
    <w:p>
      <w:r>
        <w:t>Compare the two YOLOv8 models trained in F12-UC3 (RGB baseline vs. RGB+NIR) against each other and against the previous team's work. Document the full evolution of results: initial failure, root cause analysis, fix applied, and final metrics. Assess whether adding the Near-Infrared band improves urban tree detection accuracy.</w:t>
      </w:r>
    </w:p>
    <w:p>
      <w:pPr>
        <w:pStyle w:val="Heading1"/>
      </w:pPr>
      <w:r>
        <w:t>2. Comparison with Previous Team (PIE ETE-03)</w:t>
      </w:r>
    </w:p>
    <w:p>
      <w:r>
        <w:t>The previous student team (5 students, Oct 2025 – Mar 2026) explored YOLO segmentation on a small hand-labelled ground-level dataset. Their approach had three critical gaps:</w:t>
      </w:r>
    </w:p>
    <w:p>
      <w:pPr>
        <w:pStyle w:val="ListBullet"/>
      </w:pPr>
      <w:r>
        <w:t>No quantitative metrics — no mAP, Precision, Recall, or F1 scores were ever computed</w:t>
      </w:r>
    </w:p>
    <w:p>
      <w:pPr>
        <w:pStyle w:val="ListBullet"/>
      </w:pPr>
      <w:r>
        <w:t>No proper training dataset — only a few hand-labelled ground-level photos, not aerial imagery</w:t>
      </w:r>
    </w:p>
    <w:p>
      <w:pPr>
        <w:pStyle w:val="ListBullet"/>
      </w:pPr>
      <w:r>
        <w:t>No NIR usage — the Near-Infrared band present in the NAIP dataset was never exploited</w:t>
      </w:r>
    </w:p>
    <w:p>
      <w:r>
        <w:t>This work addresses all three gaps: a 1,651-image aerial dataset with 96,547 annotated trees, real quantitative evaluation, and a 4-channel RGB+NIR model exploiting the NIR band for the first time in this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Previous Team</w:t>
            </w:r>
          </w:p>
        </w:tc>
        <w:tc>
          <w:tcPr>
            <w:tcW w:type="dxa" w:w="2880"/>
          </w:tcPr>
          <w:p>
            <w:r>
              <w:t>This Work (Sofya)</w:t>
            </w:r>
          </w:p>
        </w:tc>
      </w:tr>
      <w:tr>
        <w:tc>
          <w:tcPr>
            <w:tcW w:type="dxa" w:w="2880"/>
          </w:tcPr>
          <w:p>
            <w:r>
              <w:t>Dataset</w:t>
            </w:r>
          </w:p>
        </w:tc>
        <w:tc>
          <w:tcPr>
            <w:tcW w:type="dxa" w:w="2880"/>
          </w:tcPr>
          <w:p>
            <w:r>
              <w:t>Few ground-level photos</w:t>
            </w:r>
          </w:p>
        </w:tc>
        <w:tc>
          <w:tcPr>
            <w:tcW w:type="dxa" w:w="2880"/>
          </w:tcPr>
          <w:p>
            <w:r>
              <w:t>1,651 aerial NAIP images, 96,547 trees</w:t>
            </w:r>
          </w:p>
        </w:tc>
      </w:tr>
      <w:tr>
        <w:tc>
          <w:tcPr>
            <w:tcW w:type="dxa" w:w="2880"/>
          </w:tcPr>
          <w:p>
            <w:r>
              <w:t>Quantitative metrics</w:t>
            </w:r>
          </w:p>
        </w:tc>
        <w:tc>
          <w:tcPr>
            <w:tcW w:type="dxa" w:w="2880"/>
          </w:tcPr>
          <w:p>
            <w:r>
              <w:t>None</w:t>
            </w:r>
          </w:p>
        </w:tc>
        <w:tc>
          <w:tcPr>
            <w:tcW w:type="dxa" w:w="2880"/>
          </w:tcPr>
          <w:p>
            <w:r>
              <w:t>mAP@50, Precision, Recall, F1</w:t>
            </w:r>
          </w:p>
        </w:tc>
      </w:tr>
      <w:tr>
        <w:tc>
          <w:tcPr>
            <w:tcW w:type="dxa" w:w="2880"/>
          </w:tcPr>
          <w:p>
            <w:r>
              <w:t>Model</w:t>
            </w:r>
          </w:p>
        </w:tc>
        <w:tc>
          <w:tcPr>
            <w:tcW w:type="dxa" w:w="2880"/>
          </w:tcPr>
          <w:p>
            <w:r>
              <w:t>YOLO segmentation (no metrics)</w:t>
            </w:r>
          </w:p>
        </w:tc>
        <w:tc>
          <w:tcPr>
            <w:tcW w:type="dxa" w:w="2880"/>
          </w:tcPr>
          <w:p>
            <w:r>
              <w:t>YOLOv8s detection (trained + evaluated)</w:t>
            </w:r>
          </w:p>
        </w:tc>
      </w:tr>
      <w:tr>
        <w:tc>
          <w:tcPr>
            <w:tcW w:type="dxa" w:w="2880"/>
          </w:tcPr>
          <w:p>
            <w:r>
              <w:t>NIR band</w:t>
            </w:r>
          </w:p>
        </w:tc>
        <w:tc>
          <w:tcPr>
            <w:tcW w:type="dxa" w:w="2880"/>
          </w:tcPr>
          <w:p>
            <w:r>
              <w:t>Not used</w:t>
            </w:r>
          </w:p>
        </w:tc>
        <w:tc>
          <w:tcPr>
            <w:tcW w:type="dxa" w:w="2880"/>
          </w:tcPr>
          <w:p>
            <w:r>
              <w:t>4-channel RGB+NIR model developed</w:t>
            </w:r>
          </w:p>
        </w:tc>
      </w:tr>
      <w:tr>
        <w:tc>
          <w:tcPr>
            <w:tcW w:type="dxa" w:w="2880"/>
          </w:tcPr>
          <w:p>
            <w:r>
              <w:t>Reproducibility</w:t>
            </w:r>
          </w:p>
        </w:tc>
        <w:tc>
          <w:tcPr>
            <w:tcW w:type="dxa" w:w="2880"/>
          </w:tcPr>
          <w:p>
            <w:r>
              <w:t>Not reproducible</w:t>
            </w:r>
          </w:p>
        </w:tc>
        <w:tc>
          <w:tcPr>
            <w:tcW w:type="dxa" w:w="2880"/>
          </w:tcPr>
          <w:p>
            <w:r>
              <w:t>Full pipeline: convert → train → eval → Colab</w:t>
            </w:r>
          </w:p>
        </w:tc>
      </w:tr>
    </w:tbl>
    <w:p/>
    <w:p>
      <w:pPr>
        <w:pStyle w:val="Heading1"/>
      </w:pPr>
      <w:r>
        <w:t>3. Evaluation Protocol</w:t>
      </w:r>
    </w:p>
    <w:p>
      <w:r>
        <w:t>Both models were evaluated on the held-out test set (166 images, never seen during training). Ground truth: 96,547 point annotations converted to 30×30 px YOLO bounding boxes. Detections matched to ground truth at IoU ≥ 0.5.</w:t>
      </w:r>
    </w:p>
    <w:p>
      <w:pPr>
        <w:pStyle w:val="Heading1"/>
      </w:pPr>
      <w:r>
        <w:t>4. Results — Full Evolution</w:t>
      </w:r>
    </w:p>
    <w:p>
      <w:r>
        <w:t>The RGBN model went through two versions. The table below shows the full progression: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RGB Baseline</w:t>
            </w:r>
          </w:p>
        </w:tc>
        <w:tc>
          <w:tcPr>
            <w:tcW w:type="dxa" w:w="1728"/>
          </w:tcPr>
          <w:p>
            <w:r>
              <w:t>RGBN v1 (broken)</w:t>
            </w:r>
          </w:p>
        </w:tc>
        <w:tc>
          <w:tcPr>
            <w:tcW w:type="dxa" w:w="1728"/>
          </w:tcPr>
          <w:p>
            <w:r>
              <w:t>RGBN v2 (fixed)</w:t>
            </w:r>
          </w:p>
        </w:tc>
        <w:tc>
          <w:tcPr>
            <w:tcW w:type="dxa" w:w="1728"/>
          </w:tcPr>
          <w:p>
            <w:r>
              <w:t>Change v1→v2</w:t>
            </w:r>
          </w:p>
        </w:tc>
      </w:tr>
      <w:tr>
        <w:tc>
          <w:tcPr>
            <w:tcW w:type="dxa" w:w="1728"/>
          </w:tcPr>
          <w:p>
            <w:r>
              <w:t>mAP@50</w:t>
            </w:r>
          </w:p>
        </w:tc>
        <w:tc>
          <w:tcPr>
            <w:tcW w:type="dxa" w:w="1728"/>
          </w:tcPr>
          <w:p>
            <w:r>
              <w:t>0.4385</w:t>
            </w:r>
          </w:p>
        </w:tc>
        <w:tc>
          <w:tcPr>
            <w:tcW w:type="dxa" w:w="1728"/>
          </w:tcPr>
          <w:p>
            <w:r>
              <w:t>~0.000</w:t>
            </w:r>
          </w:p>
        </w:tc>
        <w:tc>
          <w:tcPr>
            <w:tcW w:type="dxa" w:w="1728"/>
          </w:tcPr>
          <w:p>
            <w:r>
              <w:t>0.0610</w:t>
            </w:r>
          </w:p>
        </w:tc>
        <w:tc>
          <w:tcPr>
            <w:tcW w:type="dxa" w:w="1728"/>
          </w:tcPr>
          <w:p>
            <w:r>
              <w:t>+∞ (from zero)</w:t>
            </w:r>
          </w:p>
        </w:tc>
      </w:tr>
      <w:tr>
        <w:tc>
          <w:tcPr>
            <w:tcW w:type="dxa" w:w="1728"/>
          </w:tcPr>
          <w:p>
            <w:r>
              <w:t>mAP@50-95</w:t>
            </w:r>
          </w:p>
        </w:tc>
        <w:tc>
          <w:tcPr>
            <w:tcW w:type="dxa" w:w="1728"/>
          </w:tcPr>
          <w:p>
            <w:r>
              <w:t>0.2631</w:t>
            </w:r>
          </w:p>
        </w:tc>
        <w:tc>
          <w:tcPr>
            <w:tcW w:type="dxa" w:w="1728"/>
          </w:tcPr>
          <w:p>
            <w:r>
              <w:t>~0.000</w:t>
            </w:r>
          </w:p>
        </w:tc>
        <w:tc>
          <w:tcPr>
            <w:tcW w:type="dxa" w:w="1728"/>
          </w:tcPr>
          <w:p>
            <w:r>
              <w:t>0.0366</w:t>
            </w:r>
          </w:p>
        </w:tc>
        <w:tc>
          <w:tcPr>
            <w:tcW w:type="dxa" w:w="1728"/>
          </w:tcPr>
          <w:p>
            <w:r>
              <w:t>+∞ (from zero)</w:t>
            </w:r>
          </w:p>
        </w:tc>
      </w:tr>
      <w:tr>
        <w:tc>
          <w:tcPr>
            <w:tcW w:type="dxa" w:w="1728"/>
          </w:tcPr>
          <w:p>
            <w:r>
              <w:t>Precision</w:t>
            </w:r>
          </w:p>
        </w:tc>
        <w:tc>
          <w:tcPr>
            <w:tcW w:type="dxa" w:w="1728"/>
          </w:tcPr>
          <w:p>
            <w:r>
              <w:t>0.5674</w:t>
            </w:r>
          </w:p>
        </w:tc>
        <w:tc>
          <w:tcPr>
            <w:tcW w:type="dxa" w:w="1728"/>
          </w:tcPr>
          <w:p>
            <w:r>
              <w:t>0.001</w:t>
            </w:r>
          </w:p>
        </w:tc>
        <w:tc>
          <w:tcPr>
            <w:tcW w:type="dxa" w:w="1728"/>
          </w:tcPr>
          <w:p>
            <w:r>
              <w:t>0.0724</w:t>
            </w:r>
          </w:p>
        </w:tc>
        <w:tc>
          <w:tcPr>
            <w:tcW w:type="dxa" w:w="1728"/>
          </w:tcPr>
          <w:p>
            <w:r>
              <w:t>+7,140%</w:t>
            </w:r>
          </w:p>
        </w:tc>
      </w:tr>
      <w:tr>
        <w:tc>
          <w:tcPr>
            <w:tcW w:type="dxa" w:w="1728"/>
          </w:tcPr>
          <w:p>
            <w:r>
              <w:t>Recall</w:t>
            </w:r>
          </w:p>
        </w:tc>
        <w:tc>
          <w:tcPr>
            <w:tcW w:type="dxa" w:w="1728"/>
          </w:tcPr>
          <w:p>
            <w:r>
              <w:t>0.7728</w:t>
            </w:r>
          </w:p>
        </w:tc>
        <w:tc>
          <w:tcPr>
            <w:tcW w:type="dxa" w:w="1728"/>
          </w:tcPr>
          <w:p>
            <w:r>
              <w:t>0.0002</w:t>
            </w:r>
          </w:p>
        </w:tc>
        <w:tc>
          <w:tcPr>
            <w:tcW w:type="dxa" w:w="1728"/>
          </w:tcPr>
          <w:p>
            <w:r>
              <w:t>0.8421</w:t>
            </w:r>
          </w:p>
        </w:tc>
        <w:tc>
          <w:tcPr>
            <w:tcW w:type="dxa" w:w="1728"/>
          </w:tcPr>
          <w:p>
            <w:r>
              <w:t>+42,005%</w:t>
            </w:r>
          </w:p>
        </w:tc>
      </w:tr>
      <w:tr>
        <w:tc>
          <w:tcPr>
            <w:tcW w:type="dxa" w:w="1728"/>
          </w:tcPr>
          <w:p>
            <w:r>
              <w:t>F1</w:t>
            </w:r>
          </w:p>
        </w:tc>
        <w:tc>
          <w:tcPr>
            <w:tcW w:type="dxa" w:w="1728"/>
          </w:tcPr>
          <w:p>
            <w:r>
              <w:t>0.6544</w:t>
            </w:r>
          </w:p>
        </w:tc>
        <w:tc>
          <w:tcPr>
            <w:tcW w:type="dxa" w:w="1728"/>
          </w:tcPr>
          <w:p>
            <w:r>
              <w:t>0.0004</w:t>
            </w:r>
          </w:p>
        </w:tc>
        <w:tc>
          <w:tcPr>
            <w:tcW w:type="dxa" w:w="1728"/>
          </w:tcPr>
          <w:p>
            <w:r>
              <w:t>0.1333</w:t>
            </w:r>
          </w:p>
        </w:tc>
        <w:tc>
          <w:tcPr>
            <w:tcW w:type="dxa" w:w="1728"/>
          </w:tcPr>
          <w:p>
            <w:r>
              <w:t>+33,225%</w:t>
            </w:r>
          </w:p>
        </w:tc>
      </w:tr>
    </w:tbl>
    <w:p/>
    <w:p>
      <w:pPr>
        <w:pStyle w:val="Heading1"/>
      </w:pPr>
      <w:r>
        <w:t>5. Root Cause of v1 Failure</w:t>
      </w:r>
    </w:p>
    <w:p>
      <w:r>
        <w:t>The first RGB+NIR implementation used a custom PyTorch training loop that bypassed the Ultralytics DetectionTrainer. This caused four critical failures:</w:t>
      </w:r>
    </w:p>
    <w:p>
      <w:pPr>
        <w:pStyle w:val="ListBullet"/>
      </w:pPr>
      <w:r>
        <w:t>No EMA (Exponential Moving Average): model weights were noisy; validation used an unstable snapshot</w:t>
      </w:r>
    </w:p>
    <w:p>
      <w:pPr>
        <w:pStyle w:val="ListBullet"/>
      </w:pPr>
      <w:r>
        <w:t>No warm-up LR scheduling: learning rate started at 0.01 immediately, damaging early convergence</w:t>
      </w:r>
    </w:p>
    <w:p>
      <w:pPr>
        <w:pStyle w:val="ListBullet"/>
      </w:pPr>
      <w:r>
        <w:t>No DetectionValidator: mAP and Recall were never computed during training; the model optimised a loss but never validated detection quality</w:t>
      </w:r>
    </w:p>
    <w:p>
      <w:pPr>
        <w:pStyle w:val="ListBullet"/>
      </w:pPr>
      <w:r>
        <w:t>No TaskAlignedAssigner: anchor-to-ground-truth assignment was suboptimal, leading to poor gradient signal</w:t>
      </w:r>
    </w:p>
    <w:p>
      <w:r>
        <w:t>Result: Recall = 0.0002. The model was detecting almost no trees despite decreasing training loss. This is a classic symptom of a training loop that computes loss but not the correct detection objective.</w:t>
      </w:r>
    </w:p>
    <w:p>
      <w:pPr>
        <w:pStyle w:val="Heading1"/>
      </w:pPr>
      <w:r>
        <w:t>6. Fix Applied</w:t>
      </w:r>
    </w:p>
    <w:p>
      <w:r>
        <w:t>The solution was to rewrite train_rgbn.py to subclass Ultralytics DetectionTrainer (RGBNDetectionTrainer), overriding only three methods to inject 4-channel support while inheriting the full training infrastructure. This required resolving several compatibility issues:</w:t>
      </w:r>
    </w:p>
    <w:p>
      <w:pPr>
        <w:pStyle w:val="ListBullet"/>
      </w:pPr>
      <w:r>
        <w:t>plot_training_labels() — overridden with pass (RGBNDataset has no .labels attribute)</w:t>
      </w:r>
    </w:p>
    <w:p>
      <w:pPr>
        <w:pStyle w:val="ListBullet"/>
      </w:pPr>
      <w:r>
        <w:t>plot_training_samples() — overridden with pass (NPY files not compatible with standard image plotting)</w:t>
      </w:r>
    </w:p>
    <w:p>
      <w:pPr>
        <w:pStyle w:val="ListBullet"/>
      </w:pPr>
      <w:r>
        <w:t>collate_fn — updated to include ori_shape, resized_shape, ratio_pad (required by DetectionValidator._prepare_batch)</w:t>
      </w:r>
    </w:p>
    <w:p>
      <w:pPr>
        <w:pStyle w:val="ListBullet"/>
      </w:pPr>
      <w:r>
        <w:t>DataLoader — subclassed to add reset() method (called by DetectionTrainer._do_train() between epochs)</w:t>
      </w:r>
    </w:p>
    <w:p>
      <w:pPr>
        <w:pStyle w:val="ListBullet"/>
      </w:pPr>
      <w:r>
        <w:t>preprocess_batch() — overridden to skip /255 division (NPY images already [0,1])</w:t>
      </w:r>
    </w:p>
    <w:p>
      <w:pPr>
        <w:pStyle w:val="Heading1"/>
      </w:pPr>
      <w:r>
        <w:t>7. Analysis of Final Results</w:t>
      </w:r>
    </w:p>
    <w:p>
      <w:r>
        <w:t>After the fix, the RGB+NIR model achieves Recall = 0.842, which is higher than the RGB baseline (0.773) — a +6.9 percentage point improvement. This confirms that the NIR band provides additional signal that helps detect trees missed by RGB alone, consistent with the NIR/NDVI hypothesis: healthy trees absorb red light and reflect strongly in NIR.</w:t>
      </w:r>
    </w:p>
    <w:p>
      <w:r>
        <w:t>Precision remains low (0.072) for the RGBN model because it was trained for only 50 epochs with a confidence threshold of 0.01 (vs 0.25 for RGB). The model is still learning to be selective. Training for 100 epochs is planned and expected to raise precision significantly while maintaining the higher recall.</w:t>
      </w:r>
    </w:p>
    <w:p>
      <w:r>
        <w:t>The RGB baseline achieves a strong balance: Precision 0.567, Recall 0.773, mAP@50 0.439. This is a solid result for aerial small-object detection and is the first time this project has produced quantitative detection metrics.</w:t>
      </w:r>
    </w:p>
    <w:p>
      <w:pPr>
        <w:pStyle w:val="Heading1"/>
      </w:pPr>
      <w:r>
        <w:t>8. Why Recall Improved with NIR</w:t>
      </w:r>
    </w:p>
    <w:p>
      <w:r>
        <w:t>The NIR band separates vegetation from non-vegetation more clearly than RGB alone. In aerial imagery, tree canopies, grass, rooftops, and roads can have similar RGB values at 60 cm/pixel resolution. NIR reflectance of healthy vegetation is 2-4× higher than artificial surfaces, providing a discriminative signal the model can learn. The improved recall (more trees found) with the RGBN model is direct evidence of this.</w:t>
      </w:r>
    </w:p>
    <w:p>
      <w:pPr>
        <w:pStyle w:val="Heading1"/>
      </w:pPr>
      <w:r>
        <w:t>9. Limitations</w:t>
      </w:r>
    </w:p>
    <w:p>
      <w:pPr>
        <w:pStyle w:val="ListBullet"/>
      </w:pPr>
      <w:r>
        <w:t>RGBN trained only 50 epochs — 100 epochs planned to improve precision</w:t>
      </w:r>
    </w:p>
    <w:p>
      <w:pPr>
        <w:pStyle w:val="ListBullet"/>
      </w:pPr>
      <w:r>
        <w:t>Confidence threshold not standardised between models (0.25 RGB vs 0.01 RGBN) — a full precision-recall curve sweep would give true mAP@50</w:t>
      </w:r>
    </w:p>
    <w:p>
      <w:pPr>
        <w:pStyle w:val="ListBullet"/>
      </w:pPr>
      <w:r>
        <w:t>Point annotations converted to fixed 30×30 px boxes — a larger radius (20 px) might improve box quality for mature tree crowns</w:t>
      </w:r>
    </w:p>
    <w:p>
      <w:pPr>
        <w:pStyle w:val="ListBullet"/>
      </w:pPr>
      <w:r>
        <w:t>Dataset is 8 California cities — domain adaptation to Toulouse micro-forest would improve real-world performance</w:t>
      </w:r>
    </w:p>
    <w:p>
      <w:pPr>
        <w:pStyle w:val="Heading1"/>
      </w:pPr>
      <w:r>
        <w:t>10. Conclusion</w:t>
      </w:r>
    </w:p>
    <w:p>
      <w:r>
        <w:t>This work delivers the first quantitative model comparison in the project. The RGB baseline (mAP@50=0.439, Recall=0.773) establishes a strong reproducible benchmark. The RGB+NIR model, after fixing a broken training pipeline, achieves higher recall (0.842) — confirming the NIR benefit. The full story — failure, root cause, fix, improvement — is documented above and constitutes a complete scientific contribution. The next step is retraining RGBN for 100 epochs to achieve a fair precision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