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A1A"/>
          <w:sz w:val="32"/>
        </w:rPr>
        <w:t>F13-UC1 — Définir les objectifs des visualisations</w:t>
      </w:r>
    </w:p>
    <w:p>
      <w:pPr>
        <w:jc w:val="center"/>
      </w:pPr>
      <w:r>
        <w:rPr>
          <w:b/>
          <w:color w:val="2A5A2A"/>
          <w:sz w:val="20"/>
        </w:rPr>
        <w:t xml:space="preserve">Use Case:  </w:t>
      </w:r>
      <w:r>
        <w:rPr>
          <w:color w:val="1A3A1A"/>
          <w:sz w:val="20"/>
        </w:rPr>
        <w:t>F13-UC1 (MVP)</w:t>
      </w:r>
    </w:p>
    <w:p>
      <w:pPr>
        <w:jc w:val="center"/>
      </w:pPr>
      <w:r>
        <w:rPr>
          <w:b/>
          <w:color w:val="2A5A2A"/>
          <w:sz w:val="20"/>
        </w:rPr>
        <w:t xml:space="preserve">Date:  </w:t>
      </w:r>
      <w:r>
        <w:rPr>
          <w:color w:val="1A3A1A"/>
          <w:sz w:val="20"/>
        </w:rPr>
        <w:t>May 2026</w:t>
      </w:r>
    </w:p>
    <w:p>
      <w:pPr>
        <w:jc w:val="center"/>
      </w:pPr>
      <w:r>
        <w:rPr>
          <w:b/>
          <w:color w:val="2A5A2A"/>
          <w:sz w:val="20"/>
        </w:rPr>
        <w:t xml:space="preserve">Author:  </w:t>
      </w:r>
      <w:r>
        <w:rPr>
          <w:color w:val="1A3A1A"/>
          <w:sz w:val="20"/>
        </w:rPr>
        <w:t>Sofya Tadevosyan</w:t>
      </w:r>
    </w:p>
    <w:p>
      <w:pPr>
        <w:jc w:val="center"/>
      </w:pPr>
      <w:r>
        <w:rPr>
          <w:b/>
          <w:color w:val="2A5A2A"/>
          <w:sz w:val="20"/>
        </w:rPr>
        <w:t xml:space="preserve">Statut:  </w:t>
      </w:r>
      <w:r>
        <w:rPr>
          <w:color w:val="1A3A1A"/>
          <w:sz w:val="20"/>
        </w:rPr>
        <w:t>Complété</w:t>
      </w:r>
    </w:p>
    <w:p/>
    <w:p>
      <w:pPr>
        <w:pStyle w:val="Heading1"/>
      </w:pPr>
      <w:r>
        <w:rPr>
          <w:color w:val="1A4A1A"/>
          <w:sz w:val="24"/>
        </w:rPr>
        <w:t>1. Objectif</w:t>
      </w:r>
    </w:p>
    <w:p>
      <w:r>
        <w:rPr>
          <w:sz w:val="20"/>
        </w:rPr>
        <w:t>Définir les objectifs des visualisations pour le projet de détection d'arbres urbains. Identifier les questions auxquelles les visualisations doivent répondre, les publics cibles, et les livrables nécessaires pour communiquer les résultats du modèle au client NEUSTA France.</w:t>
      </w:r>
    </w:p>
    <w:p>
      <w:pPr>
        <w:pStyle w:val="Heading1"/>
      </w:pPr>
      <w:r>
        <w:rPr>
          <w:color w:val="1A4A1A"/>
          <w:sz w:val="24"/>
        </w:rPr>
        <w:t>2. Contexte</w:t>
      </w:r>
    </w:p>
    <w:p>
      <w:r>
        <w:rPr>
          <w:sz w:val="20"/>
        </w:rPr>
        <w:t>Deux modèles YOLOv8s ont été entraînés sur le dataset NAIP (1 651 images, 96 547 arbres) :</w:t>
      </w:r>
    </w:p>
    <w:p>
      <w:pPr>
        <w:pStyle w:val="ListBullet"/>
      </w:pPr>
      <w:r>
        <w:rPr>
          <w:sz w:val="20"/>
        </w:rPr>
        <w:t>Modèle RGB (référence, 3 canaux) — mAP@50 = 0.439, Précision = 0.567, Rappel = 0.773</w:t>
      </w:r>
    </w:p>
    <w:p>
      <w:pPr>
        <w:pStyle w:val="ListBullet"/>
      </w:pPr>
      <w:r>
        <w:rPr>
          <w:sz w:val="20"/>
        </w:rPr>
        <w:t>Modèle RGB+NIR (4 canaux, bande proche infrarouge) — Rappel = 0.842</w:t>
      </w:r>
    </w:p>
    <w:p>
      <w:r>
        <w:rPr>
          <w:sz w:val="20"/>
        </w:rPr>
        <w:t>Les visualisations doivent communiquer les résultats quantitatifs, qualitatifs, et démontrer l'amélioration apportée par rapport au travail de l'équipe précédente (PIE ETE-03).</w:t>
      </w:r>
    </w:p>
    <w:p>
      <w:pPr>
        <w:pStyle w:val="Heading1"/>
      </w:pPr>
      <w:r>
        <w:rPr>
          <w:color w:val="1A4A1A"/>
          <w:sz w:val="24"/>
        </w:rPr>
        <w:t>3. Publics cibles</w:t>
      </w:r>
    </w:p>
    <w:p>
      <w:pPr>
        <w:pStyle w:val="ListBullet"/>
      </w:pPr>
      <w:r>
        <w:rPr>
          <w:sz w:val="20"/>
        </w:rPr>
        <w:t>Client NEUSTA (Damien Appert) : images de détection, métriques de fiabilité, analyse NDVI</w:t>
      </w:r>
    </w:p>
    <w:p>
      <w:pPr>
        <w:pStyle w:val="ListBullet"/>
      </w:pPr>
      <w:r>
        <w:rPr>
          <w:sz w:val="20"/>
        </w:rPr>
        <w:t>Encadrant technique : comparaison des métriques RGB vs RGB+NIR, courbes d'entraînement</w:t>
      </w:r>
    </w:p>
    <w:p>
      <w:pPr>
        <w:pStyle w:val="ListBullet"/>
      </w:pPr>
      <w:r>
        <w:rPr>
          <w:sz w:val="20"/>
        </w:rPr>
        <w:t>Jury de stage : tableau comparatif vs équipe précédente, démonstration interactive</w:t>
      </w:r>
    </w:p>
    <w:p>
      <w:pPr>
        <w:pStyle w:val="Heading1"/>
      </w:pPr>
      <w:r>
        <w:rPr>
          <w:color w:val="1A4A1A"/>
          <w:sz w:val="24"/>
        </w:rPr>
        <w:t>4. Objectifs de visualisation définis</w:t>
      </w:r>
    </w:p>
    <w:p>
      <w:r>
        <w:rPr>
          <w:b/>
          <w:sz w:val="20"/>
        </w:rPr>
        <w:t>4.1 Performance du modèle</w:t>
      </w:r>
    </w:p>
    <w:p>
      <w:pPr>
        <w:pStyle w:val="ListBullet"/>
      </w:pPr>
      <w:r>
        <w:rPr>
          <w:sz w:val="20"/>
        </w:rPr>
        <w:t>mAP@50, Précision, Rappel, F1 pour chaque modèle</w:t>
      </w:r>
    </w:p>
    <w:p>
      <w:pPr>
        <w:pStyle w:val="ListBullet"/>
      </w:pPr>
      <w:r>
        <w:rPr>
          <w:sz w:val="20"/>
        </w:rPr>
        <w:t>Amélioration RGB+NIR vs RGB baseline</w:t>
      </w:r>
    </w:p>
    <w:p>
      <w:pPr>
        <w:pStyle w:val="ListBullet"/>
      </w:pPr>
      <w:r>
        <w:rPr>
          <w:sz w:val="20"/>
        </w:rPr>
        <w:t>Évolution RGBN v1 (échoué) → v2 (partiel) → RGB (meilleur)</w:t>
      </w:r>
    </w:p>
    <w:p/>
    <w:p>
      <w:r>
        <w:rPr>
          <w:b/>
          <w:sz w:val="20"/>
        </w:rPr>
        <w:t>4.2 Qualité des détections</w:t>
      </w:r>
    </w:p>
    <w:p>
      <w:pPr>
        <w:pStyle w:val="ListBullet"/>
      </w:pPr>
      <w:r>
        <w:rPr>
          <w:sz w:val="20"/>
        </w:rPr>
        <w:t>Boîtes de détection superposées sur images réelles (vérité terrain vs prédictions)</w:t>
      </w:r>
    </w:p>
    <w:p>
      <w:pPr>
        <w:pStyle w:val="ListBullet"/>
      </w:pPr>
      <w:r>
        <w:rPr>
          <w:sz w:val="20"/>
        </w:rPr>
        <w:t>Analyse NDVI par arbre détecté : Healthy / Moderate / Stressed</w:t>
      </w:r>
    </w:p>
    <w:p>
      <w:pPr>
        <w:pStyle w:val="ListBullet"/>
      </w:pPr>
      <w:r>
        <w:rPr>
          <w:sz w:val="20"/>
        </w:rPr>
        <w:t>Comparaison année par année sur le même site</w:t>
      </w:r>
    </w:p>
    <w:p/>
    <w:p>
      <w:r>
        <w:rPr>
          <w:b/>
          <w:sz w:val="20"/>
        </w:rPr>
        <w:t>4.3 Comportement à l'entraînement</w:t>
      </w:r>
    </w:p>
    <w:p>
      <w:pPr>
        <w:pStyle w:val="ListBullet"/>
      </w:pPr>
      <w:r>
        <w:rPr>
          <w:sz w:val="20"/>
        </w:rPr>
        <w:t>Convergence de la loss et de la mAP par époque</w:t>
      </w:r>
    </w:p>
    <w:p>
      <w:pPr>
        <w:pStyle w:val="ListBullet"/>
      </w:pPr>
      <w:r>
        <w:rPr>
          <w:sz w:val="20"/>
        </w:rPr>
        <w:t>Détection du meilleur checkpoint (best.pt)</w:t>
      </w:r>
    </w:p>
    <w:p/>
    <w:p>
      <w:r>
        <w:rPr>
          <w:b/>
          <w:sz w:val="20"/>
        </w:rPr>
        <w:t>4.4 Comparaison avec le travail précédent</w:t>
      </w:r>
    </w:p>
    <w:p>
      <w:pPr>
        <w:pStyle w:val="ListBullet"/>
      </w:pPr>
      <w:r>
        <w:rPr>
          <w:sz w:val="20"/>
        </w:rPr>
        <w:t>Tableau complet équipe PIE ETE-03 vs Sofya Tadevosyan</w:t>
      </w:r>
    </w:p>
    <w:p>
      <w:pPr>
        <w:pStyle w:val="ListBullet"/>
      </w:pPr>
      <w:r>
        <w:rPr>
          <w:sz w:val="20"/>
        </w:rPr>
        <w:t>Première fois que des métriques quantitatives existent pour ce projet</w:t>
      </w:r>
    </w:p>
    <w:p>
      <w:pPr>
        <w:pStyle w:val="Heading1"/>
      </w:pPr>
      <w:r>
        <w:rPr>
          <w:color w:val="1A4A1A"/>
          <w:sz w:val="24"/>
        </w:rPr>
        <w:t>5. Livrables de visualisation requis</w:t>
      </w:r>
    </w:p>
    <w:p>
      <w:pPr>
        <w:pStyle w:val="ListBullet"/>
      </w:pPr>
      <w:r>
        <w:rPr>
          <w:sz w:val="20"/>
        </w:rPr>
        <w:t>results/results_comparison.png — graphique comparatif RGB vs RGBN (5 métriques) — Fait</w:t>
      </w:r>
    </w:p>
    <w:p>
      <w:pPr>
        <w:pStyle w:val="ListBullet"/>
      </w:pPr>
      <w:r>
        <w:rPr>
          <w:sz w:val="20"/>
        </w:rPr>
        <w:t>results/results_comparison.csv — métriques tabulaires — Fait</w:t>
      </w:r>
    </w:p>
    <w:p>
      <w:pPr>
        <w:pStyle w:val="ListBullet"/>
      </w:pPr>
      <w:r>
        <w:rPr>
          <w:sz w:val="20"/>
        </w:rPr>
        <w:t>results/metrics.json — résultats machine-readable — Fait</w:t>
      </w:r>
    </w:p>
    <w:p>
      <w:pPr>
        <w:pStyle w:val="ListBullet"/>
      </w:pPr>
      <w:r>
        <w:rPr>
          <w:sz w:val="20"/>
        </w:rPr>
        <w:t>Grille de détections test (GT vert / prédit rouge) — Fait</w:t>
      </w:r>
    </w:p>
    <w:p>
      <w:pPr>
        <w:pStyle w:val="ListBullet"/>
      </w:pPr>
      <w:r>
        <w:rPr>
          <w:sz w:val="20"/>
        </w:rPr>
        <w:t>Application Streamlit interactive (3 onglets) — Fait</w:t>
      </w:r>
    </w:p>
    <w:p>
      <w:pPr>
        <w:pStyle w:val="ListBullet"/>
      </w:pPr>
      <w:r>
        <w:rPr>
          <w:sz w:val="20"/>
        </w:rPr>
        <w:t>Analyse NDVI de santé par arbre détecté — Fait (health_analysis.py)</w:t>
      </w:r>
    </w:p>
    <w:p>
      <w:pPr>
        <w:pStyle w:val="Heading1"/>
      </w:pPr>
      <w:r>
        <w:rPr>
          <w:color w:val="1A4A1A"/>
          <w:sz w:val="24"/>
        </w:rPr>
        <w:t>6. Principes de conception</w:t>
      </w:r>
    </w:p>
    <w:p>
      <w:pPr>
        <w:pStyle w:val="ListBullet"/>
      </w:pPr>
      <w:r>
        <w:rPr>
          <w:sz w:val="20"/>
        </w:rPr>
        <w:t>Toutes les visualisations sont reproductibles depuis train_colab.ipynb</w:t>
      </w:r>
    </w:p>
    <w:p>
      <w:pPr>
        <w:pStyle w:val="ListBullet"/>
      </w:pPr>
      <w:r>
        <w:rPr>
          <w:sz w:val="20"/>
        </w:rPr>
        <w:t>Les graphiques métriques montrent les deux modèles côte à côte</w:t>
      </w:r>
    </w:p>
    <w:p>
      <w:pPr>
        <w:pStyle w:val="ListBullet"/>
      </w:pPr>
      <w:r>
        <w:rPr>
          <w:sz w:val="20"/>
        </w:rPr>
        <w:t>Les images de détection montrent la vérité terrain (vert) et les prédictions (rouge)</w:t>
      </w:r>
    </w:p>
    <w:p>
      <w:pPr>
        <w:pStyle w:val="ListBullet"/>
      </w:pPr>
      <w:r>
        <w:rPr>
          <w:sz w:val="20"/>
        </w:rPr>
        <w:t>Tous les chiffres proviennent du jeu de test maintenu séparé (166 images)</w:t>
      </w:r>
    </w:p>
    <w:p>
      <w:pPr>
        <w:pStyle w:val="ListBullet"/>
      </w:pPr>
      <w:r>
        <w:rPr>
          <w:sz w:val="20"/>
        </w:rPr>
        <w:t>L'application Streamlit fonctionne en mode light (sage green) sans GPU</w:t>
      </w:r>
    </w:p>
    <w:p>
      <w:pPr>
        <w:pStyle w:val="Heading1"/>
      </w:pPr>
      <w:r>
        <w:rPr>
          <w:color w:val="1A4A1A"/>
          <w:sz w:val="24"/>
        </w:rPr>
        <w:t>7. Statut</w:t>
      </w:r>
    </w:p>
    <w:p>
      <w:r>
        <w:rPr>
          <w:sz w:val="20"/>
        </w:rPr>
        <w:t>UC1 complété. Tous les objectifs de visualisation ont été définis, implémentés et livrés. L'application Streamlit constitue le livrable démonstratif principal : 3 onglets (upload, démo image unique, comparaison temporelle), analyse NDVI intégrée, thème sage green.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