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1A4A1A"/>
        </w:rPr>
        <w:t>F13 – UC2 : Visualisations Pertinentes</w:t>
      </w:r>
    </w:p>
    <w:p/>
    <w:tbl>
      <w:tblPr>
        <w:tblStyle w:val="TableGrid"/>
        <w:tblW w:type="auto" w:w="0"/>
        <w:tblLook w:firstColumn="1" w:firstRow="1" w:lastColumn="0" w:lastRow="0" w:noHBand="0" w:noVBand="1" w:val="04A0"/>
      </w:tblPr>
      <w:tblGrid>
        <w:gridCol w:w="4320"/>
        <w:gridCol w:w="4320"/>
      </w:tblGrid>
      <w:tr>
        <w:tc>
          <w:tcPr>
            <w:tcW w:type="dxa" w:w="4320"/>
          </w:tcPr>
          <w:p>
            <w:r>
              <w:rPr>
                <w:b/>
              </w:rPr>
              <w:t>Identifiant</w:t>
            </w:r>
          </w:p>
        </w:tc>
        <w:tc>
          <w:tcPr>
            <w:tcW w:type="dxa" w:w="4320"/>
          </w:tcPr>
          <w:p>
            <w:r>
              <w:t>F13-UC2</w:t>
            </w:r>
          </w:p>
        </w:tc>
      </w:tr>
      <w:tr>
        <w:tc>
          <w:tcPr>
            <w:tcW w:type="dxa" w:w="4320"/>
          </w:tcPr>
          <w:p>
            <w:r>
              <w:rPr>
                <w:b/>
              </w:rPr>
              <w:t>Titre</w:t>
            </w:r>
          </w:p>
        </w:tc>
        <w:tc>
          <w:tcPr>
            <w:tcW w:type="dxa" w:w="4320"/>
          </w:tcPr>
          <w:p>
            <w:r>
              <w:t>Visualisations Pertinentes</w:t>
            </w:r>
          </w:p>
        </w:tc>
      </w:tr>
      <w:tr>
        <w:tc>
          <w:tcPr>
            <w:tcW w:type="dxa" w:w="4320"/>
          </w:tcPr>
          <w:p>
            <w:r>
              <w:rPr>
                <w:b/>
              </w:rPr>
              <w:t>Acteur principal</w:t>
            </w:r>
          </w:p>
        </w:tc>
        <w:tc>
          <w:tcPr>
            <w:tcW w:type="dxa" w:w="4320"/>
          </w:tcPr>
          <w:p>
            <w:r>
              <w:t>Sofya Tadevosyan (stagiaire ML)</w:t>
            </w:r>
          </w:p>
        </w:tc>
      </w:tr>
      <w:tr>
        <w:tc>
          <w:tcPr>
            <w:tcW w:type="dxa" w:w="4320"/>
          </w:tcPr>
          <w:p>
            <w:r>
              <w:rPr>
                <w:b/>
              </w:rPr>
              <w:t>Priorité</w:t>
            </w:r>
          </w:p>
        </w:tc>
        <w:tc>
          <w:tcPr>
            <w:tcW w:type="dxa" w:w="4320"/>
          </w:tcPr>
          <w:p>
            <w:r>
              <w:t>Haute</w:t>
            </w:r>
          </w:p>
        </w:tc>
      </w:tr>
      <w:tr>
        <w:tc>
          <w:tcPr>
            <w:tcW w:type="dxa" w:w="4320"/>
          </w:tcPr>
          <w:p>
            <w:r>
              <w:rPr>
                <w:b/>
              </w:rPr>
              <w:t>Statut</w:t>
            </w:r>
          </w:p>
        </w:tc>
        <w:tc>
          <w:tcPr>
            <w:tcW w:type="dxa" w:w="4320"/>
          </w:tcPr>
          <w:p>
            <w:r>
              <w:t>Réalisé</w:t>
            </w:r>
          </w:p>
        </w:tc>
      </w:tr>
      <w:tr>
        <w:tc>
          <w:tcPr>
            <w:tcW w:type="dxa" w:w="4320"/>
          </w:tcPr>
          <w:p>
            <w:r>
              <w:rPr>
                <w:b/>
              </w:rPr>
              <w:t>Date</w:t>
            </w:r>
          </w:p>
        </w:tc>
        <w:tc>
          <w:tcPr>
            <w:tcW w:type="dxa" w:w="4320"/>
          </w:tcPr>
          <w:p>
            <w:r>
              <w:t>Mai 2026</w:t>
            </w:r>
          </w:p>
        </w:tc>
      </w:tr>
    </w:tbl>
    <w:p/>
    <w:p>
      <w:pPr>
        <w:pStyle w:val="Heading2"/>
      </w:pPr>
      <w:r>
        <w:t>Description</w:t>
      </w:r>
    </w:p>
    <w:p>
      <w:r>
        <w:t>Ce cas d'utilisation couvre la conception et l'implémentation des visualisations pertinentes permettant d'interpréter les résultats du modèle YOLOv8 de détection d'arbres urbains. Les visualisations incluent les boîtes de détection colorées selon l'état de santé NDVI, les métriques de performance (mAP, Précision, Rappel, F1), ainsi que les comparaisons RGB vs RGB+NIR présentées dans l'application Streamlit.</w:t>
      </w:r>
    </w:p>
    <w:p>
      <w:pPr>
        <w:pStyle w:val="Heading2"/>
      </w:pPr>
      <w:r>
        <w:t>Objectifs</w:t>
      </w:r>
    </w:p>
    <w:p>
      <w:pPr>
        <w:pStyle w:val="ListBullet"/>
      </w:pPr>
      <w:r>
        <w:t>Afficher les détections YOLOv8 avec boîtes colorées selon la santé NDVI (vert/jaune/rouge)</w:t>
      </w:r>
    </w:p>
    <w:p>
      <w:pPr>
        <w:pStyle w:val="ListBullet"/>
      </w:pPr>
      <w:r>
        <w:t>Présenter les métriques de performance du modèle de façon lisible et comparative</w:t>
      </w:r>
    </w:p>
    <w:p>
      <w:pPr>
        <w:pStyle w:val="ListBullet"/>
      </w:pPr>
      <w:r>
        <w:t>Visualiser la comparaison RGB vs RGB+NIR (mAP@50, Précision, Rappel, F1)</w:t>
      </w:r>
    </w:p>
    <w:p>
      <w:pPr>
        <w:pStyle w:val="ListBullet"/>
      </w:pPr>
      <w:r>
        <w:t>Permettre l'exploration interactive des images de test via l'application Streamlit</w:t>
      </w:r>
    </w:p>
    <w:p>
      <w:pPr>
        <w:pStyle w:val="ListBullet"/>
      </w:pPr>
      <w:r>
        <w:t>Afficher le résumé de santé des arbres détectés (% Sain / Modéré / Stressé)</w:t>
      </w:r>
    </w:p>
    <w:p>
      <w:pPr>
        <w:pStyle w:val="Heading2"/>
      </w:pPr>
      <w:r>
        <w:t>Réalisations</w:t>
      </w:r>
    </w:p>
    <w:p>
      <w:pPr>
        <w:pStyle w:val="ListBullet"/>
      </w:pPr>
      <w:r>
        <w:rPr>
          <w:b/>
        </w:rPr>
        <w:t xml:space="preserve">Application Streamlit (app.py) : </w:t>
      </w:r>
      <w:r>
        <w:t>Interface interactive avec sélection d'image, seuil de confiance, onglets Single Image / Compare / Health Analysis. Thème sage green cohérent. Détections affichées avec boîtes colorées NDVI.</w:t>
      </w:r>
    </w:p>
    <w:p>
      <w:pPr>
        <w:pStyle w:val="ListBullet"/>
      </w:pPr>
      <w:r>
        <w:rPr>
          <w:b/>
        </w:rPr>
        <w:t xml:space="preserve">Analyse de santé NDVI (health_analysis.py) : </w:t>
      </w:r>
      <w:r>
        <w:t>Calcul du NDVI par boîte de détection. Classification Healthy (&gt;0.2) / Moderate (0–0.2) / Stressed (&lt;0.0). Couleurs : vert, cyan, rouge. Résumé statistique affiché dans la sidebar.</w:t>
      </w:r>
    </w:p>
    <w:p>
      <w:pPr>
        <w:pStyle w:val="ListBullet"/>
      </w:pPr>
      <w:r>
        <w:rPr>
          <w:b/>
        </w:rPr>
        <w:t xml:space="preserve">Graphique de comparaison (results_comparison.png) : </w:t>
      </w:r>
      <w:r>
        <w:t>Barres comparatives mAP@50, mAP@50-95, Précision, Rappel, F1 pour RGB vs RGB+NIR. Généré par evaluate.py, intégré dans le poster et l'application.</w:t>
      </w:r>
    </w:p>
    <w:p>
      <w:pPr>
        <w:pStyle w:val="ListBullet"/>
      </w:pPr>
      <w:r>
        <w:rPr>
          <w:b/>
        </w:rPr>
        <w:t xml:space="preserve">Tableau d'évolution (evolution_table.png) : </w:t>
      </w:r>
      <w:r>
        <w:t>Tableau récapitulatif montrant la progression : équipe précédente (pas de métriques) → YOLOv8 RGB (mAP@50=0.439) → YOLOv8 RGB+NIR (Recall=0.842, +6.9%).</w:t>
      </w:r>
    </w:p>
    <w:p>
      <w:pPr>
        <w:pStyle w:val="ListBullet"/>
      </w:pPr>
      <w:r>
        <w:rPr>
          <w:b/>
        </w:rPr>
        <w:t xml:space="preserve">Grille de détections (rgb_detections_grid.png) : </w:t>
      </w:r>
      <w:r>
        <w:t>Grille de 6 images de test annotées avec les boîtes de détection prédites, pour validation visuelle qualitative du modèle.</w:t>
      </w:r>
    </w:p>
    <w:p>
      <w:pPr>
        <w:pStyle w:val="Heading2"/>
      </w:pPr>
      <w:r>
        <w:t>Résultats obtenus</w:t>
      </w:r>
    </w:p>
    <w:p>
      <w:r>
        <w:t>L'application Streamlit présente de manière claire et interactive toutes les visualisations nécessaires à l'interprétation des résultats. Le modèle RGB+NIR atteint un Recall de 0.842 (+6.9% vs RGB), démontrant l'apport du canal NIR. Les visualisations NDVI permettent une analyse de santé arbre par arbre directement sur les images aériennes NAIP.</w:t>
      </w:r>
    </w:p>
    <w:p>
      <w:pPr>
        <w:pStyle w:val="Heading2"/>
      </w:pPr>
      <w:r>
        <w:t>Liens avec les autres cas d'utilisation</w:t>
      </w:r>
    </w:p>
    <w:p>
      <w:pPr>
        <w:pStyle w:val="ListBullet"/>
      </w:pPr>
      <w:r>
        <w:t>F13-UC1 : Les objectifs de visualisation définis en UC1 sont mis en œuvre ici</w:t>
      </w:r>
    </w:p>
    <w:p>
      <w:pPr>
        <w:pStyle w:val="ListBullet"/>
      </w:pPr>
      <w:r>
        <w:t>F13-UC3 : Les hypothèses écologiques NDVI sont visualisées via les boîtes colorées</w:t>
      </w:r>
    </w:p>
    <w:p>
      <w:pPr>
        <w:pStyle w:val="ListBullet"/>
      </w:pPr>
      <w:r>
        <w:t>F13-UC4 : Les visualisations servent de base à l'analyse et l'exploitation des résultats</w:t>
      </w:r>
    </w:p>
    <w:p>
      <w:pPr>
        <w:pStyle w:val="ListBullet"/>
      </w:pPr>
      <w:r>
        <w:t>F12-UC4 : La comparaison des modèles RGB vs RGB+NIR est rendue visible ici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