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A1A"/>
          <w:sz w:val="32"/>
        </w:rPr>
        <w:t>F13-UC3 — Formuler des hypothèses écologiques</w:t>
      </w:r>
    </w:p>
    <w:p>
      <w:pPr>
        <w:jc w:val="center"/>
      </w:pPr>
      <w:r>
        <w:rPr>
          <w:b/>
          <w:color w:val="2A5A2A"/>
          <w:sz w:val="20"/>
        </w:rPr>
        <w:t xml:space="preserve">Use Case:  </w:t>
      </w:r>
      <w:r>
        <w:rPr>
          <w:color w:val="1A3A1A"/>
          <w:sz w:val="20"/>
        </w:rPr>
        <w:t>F13-UC3 (MVP)</w:t>
      </w:r>
    </w:p>
    <w:p>
      <w:pPr>
        <w:jc w:val="center"/>
      </w:pPr>
      <w:r>
        <w:rPr>
          <w:b/>
          <w:color w:val="2A5A2A"/>
          <w:sz w:val="20"/>
        </w:rPr>
        <w:t xml:space="preserve">Date:  </w:t>
      </w:r>
      <w:r>
        <w:rPr>
          <w:color w:val="1A3A1A"/>
          <w:sz w:val="20"/>
        </w:rPr>
        <w:t>May 2026</w:t>
      </w:r>
    </w:p>
    <w:p>
      <w:pPr>
        <w:jc w:val="center"/>
      </w:pPr>
      <w:r>
        <w:rPr>
          <w:b/>
          <w:color w:val="2A5A2A"/>
          <w:sz w:val="20"/>
        </w:rPr>
        <w:t xml:space="preserve">Author:  </w:t>
      </w:r>
      <w:r>
        <w:rPr>
          <w:color w:val="1A3A1A"/>
          <w:sz w:val="20"/>
        </w:rPr>
        <w:t>Sofya Tadevosyan</w:t>
      </w:r>
    </w:p>
    <w:p>
      <w:pPr>
        <w:jc w:val="center"/>
      </w:pPr>
      <w:r>
        <w:rPr>
          <w:b/>
          <w:color w:val="2A5A2A"/>
          <w:sz w:val="20"/>
        </w:rPr>
        <w:t xml:space="preserve">Statut:  </w:t>
      </w:r>
      <w:r>
        <w:rPr>
          <w:color w:val="1A3A1A"/>
          <w:sz w:val="20"/>
        </w:rPr>
        <w:t>Complété</w:t>
      </w:r>
    </w:p>
    <w:p/>
    <w:p>
      <w:pPr>
        <w:pStyle w:val="Heading1"/>
      </w:pPr>
      <w:r>
        <w:rPr>
          <w:color w:val="1A4A1A"/>
          <w:sz w:val="24"/>
        </w:rPr>
        <w:t>1. Objectif</w:t>
      </w:r>
    </w:p>
    <w:p>
      <w:r>
        <w:rPr>
          <w:sz w:val="20"/>
        </w:rPr>
        <w:t>Formuler des hypothèses écologiques testables à partir des résultats du système de détection d'arbres urbains, et démontrer que ces hypothèses sont mesurables quantitativement grâce aux modèles YOLOv8s et à l'analyse NDVI.</w:t>
      </w:r>
    </w:p>
    <w:p>
      <w:pPr>
        <w:pStyle w:val="Heading1"/>
      </w:pPr>
      <w:r>
        <w:rPr>
          <w:color w:val="1A4A1A"/>
          <w:sz w:val="24"/>
        </w:rPr>
        <w:t>2. Hypothèse 1 — La bande NIR améliore la détection des arbres</w:t>
      </w:r>
    </w:p>
    <w:p>
      <w:r>
        <w:rPr>
          <w:b/>
          <w:sz w:val="20"/>
        </w:rPr>
        <w:t>Formulation</w:t>
      </w:r>
    </w:p>
    <w:p>
      <w:r>
        <w:rPr>
          <w:sz w:val="20"/>
        </w:rPr>
        <w:t>Un modèle YOLOv8s entraîné sur des images RGB+NIR (4 canaux) détecte davantage d'arbres avec une précision supérieure à un modèle entraîné uniquement sur RGB (3 canaux), car la bande NIR encode directement la réflectance chlorophyllienne.</w:t>
      </w:r>
    </w:p>
    <w:p/>
    <w:p>
      <w:r>
        <w:rPr>
          <w:b/>
          <w:sz w:val="20"/>
        </w:rPr>
        <w:t>Justification écologique</w:t>
      </w:r>
    </w:p>
    <w:p>
      <w:pPr>
        <w:pStyle w:val="ListBullet"/>
      </w:pPr>
      <w:r>
        <w:rPr>
          <w:sz w:val="20"/>
        </w:rPr>
        <w:t>Les végétaux sains réfléchissent fortement dans le proche infrarouge (NIR) car les structures cellulaires des feuilles diffusent la lumière NIR</w:t>
      </w:r>
    </w:p>
    <w:p>
      <w:pPr>
        <w:pStyle w:val="ListBullet"/>
      </w:pPr>
      <w:r>
        <w:rPr>
          <w:sz w:val="20"/>
        </w:rPr>
        <w:t>Les arbres stressés, malades ou morts réfléchissent moins dans le NIR</w:t>
      </w:r>
    </w:p>
    <w:p>
      <w:pPr>
        <w:pStyle w:val="ListBullet"/>
      </w:pPr>
      <w:r>
        <w:rPr>
          <w:sz w:val="20"/>
        </w:rPr>
        <w:t>Le NDVI (Normalized Difference Vegetation Index) est la mesure standard en télédétection de la vitalité végétale : NDVI = (NIR - Red) / (NIR + Red)</w:t>
      </w:r>
    </w:p>
    <w:p>
      <w:pPr>
        <w:pStyle w:val="ListBullet"/>
      </w:pPr>
      <w:r>
        <w:rPr>
          <w:sz w:val="20"/>
        </w:rPr>
        <w:t>L'équipe précédente n'a jamais exploité cette bande pourtant présente dans les données NAIP</w:t>
      </w:r>
    </w:p>
    <w:p/>
    <w:p>
      <w:r>
        <w:rPr>
          <w:b/>
          <w:sz w:val="20"/>
        </w:rPr>
        <w:t>Test de l'hypothèse</w:t>
      </w:r>
    </w:p>
    <w:p>
      <w:pPr>
        <w:pStyle w:val="ListBullet"/>
      </w:pPr>
      <w:r>
        <w:rPr>
          <w:sz w:val="20"/>
        </w:rPr>
        <w:t>Modèle RGB baseline : mAP@50 = 0.439, Rappel = 0.773, Précision = 0.567</w:t>
      </w:r>
    </w:p>
    <w:p>
      <w:pPr>
        <w:pStyle w:val="ListBullet"/>
      </w:pPr>
      <w:r>
        <w:rPr>
          <w:sz w:val="20"/>
        </w:rPr>
        <w:t>Modèle RGB+NIR : Rappel = 0.842 (+6.9% vs RGB) sur jeu de test 166 images</w:t>
      </w:r>
    </w:p>
    <w:p>
      <w:pPr>
        <w:pStyle w:val="ListBullet"/>
      </w:pPr>
      <w:r>
        <w:rPr>
          <w:sz w:val="20"/>
        </w:rPr>
        <w:t>Comparaison complète (mAP@50 RGB+NIR) prévue après ré-entraînement 100 époques</w:t>
      </w:r>
    </w:p>
    <w:p/>
    <w:p>
      <w:r>
        <w:rPr>
          <w:sz w:val="20"/>
        </w:rPr>
        <w:t>**Statut :** Partiellement confirmée — Rappel amélioré. mAP@50 complet en attente.</w:t>
      </w:r>
    </w:p>
    <w:p>
      <w:pPr>
        <w:pStyle w:val="Heading1"/>
      </w:pPr>
      <w:r>
        <w:rPr>
          <w:color w:val="1A4A1A"/>
          <w:sz w:val="24"/>
        </w:rPr>
        <w:t>2. Hypothèse 2 — Le NDVI par arbre détecté indique son état de santé</w:t>
      </w:r>
    </w:p>
    <w:p>
      <w:r>
        <w:rPr>
          <w:b/>
          <w:sz w:val="20"/>
        </w:rPr>
        <w:t>Formulation</w:t>
      </w:r>
    </w:p>
    <w:p>
      <w:r>
        <w:rPr>
          <w:sz w:val="20"/>
        </w:rPr>
        <w:t>En calculant le NDVI moyen sur le patch de chaque boîte de détection, il est possible de classifier l'état de santé de chaque arbre individuellement en trois catégories : Healthy, Moderate, Stressed.</w:t>
      </w:r>
    </w:p>
    <w:p/>
    <w:p>
      <w:r>
        <w:rPr>
          <w:b/>
          <w:sz w:val="20"/>
        </w:rPr>
        <w:t>Justification écologique</w:t>
      </w:r>
    </w:p>
    <w:p>
      <w:pPr>
        <w:pStyle w:val="ListBullet"/>
      </w:pPr>
      <w:r>
        <w:rPr>
          <w:sz w:val="20"/>
        </w:rPr>
        <w:t>NDVI &gt; 0.6 : végétation dense, photosynthèse active (forêts tropicales, prairies)</w:t>
      </w:r>
    </w:p>
    <w:p>
      <w:pPr>
        <w:pStyle w:val="ListBullet"/>
      </w:pPr>
      <w:r>
        <w:rPr>
          <w:sz w:val="20"/>
        </w:rPr>
        <w:t>NDVI 0.2–0.6 : végétation modérée (arbres urbains, parcs)</w:t>
      </w:r>
    </w:p>
    <w:p>
      <w:pPr>
        <w:pStyle w:val="ListBullet"/>
      </w:pPr>
      <w:r>
        <w:rPr>
          <w:sz w:val="20"/>
        </w:rPr>
        <w:t>NDVI 0.0–0.2 : végétation éparse ou stress hydrique</w:t>
      </w:r>
    </w:p>
    <w:p>
      <w:pPr>
        <w:pStyle w:val="ListBullet"/>
      </w:pPr>
      <w:r>
        <w:rPr>
          <w:sz w:val="20"/>
        </w:rPr>
        <w:t>NDVI &lt; 0.0 : sol nu, béton, eau, végétation morte</w:t>
      </w:r>
    </w:p>
    <w:p/>
    <w:p>
      <w:r>
        <w:rPr>
          <w:b/>
          <w:sz w:val="20"/>
        </w:rPr>
        <w:t>Seuils retenus pour ce projet (ajustés au contexte urbain)</w:t>
      </w:r>
    </w:p>
    <w:p>
      <w:pPr>
        <w:pStyle w:val="ListBullet"/>
      </w:pPr>
      <w:r>
        <w:rPr>
          <w:sz w:val="20"/>
        </w:rPr>
        <w:t>&gt; 0.2 → Healthy : photosynthèse active, bonne canopée</w:t>
      </w:r>
    </w:p>
    <w:p>
      <w:pPr>
        <w:pStyle w:val="ListBullet"/>
      </w:pPr>
      <w:r>
        <w:rPr>
          <w:sz w:val="20"/>
        </w:rPr>
        <w:t>0.0–0.2 → Moderate : stress léger, jeune pousse, ou ombre</w:t>
      </w:r>
    </w:p>
    <w:p>
      <w:pPr>
        <w:pStyle w:val="ListBullet"/>
      </w:pPr>
      <w:r>
        <w:rPr>
          <w:sz w:val="20"/>
        </w:rPr>
        <w:t>&lt; 0.0 → Stressed : stress hydrique, maladie, ou canopée clairsemée</w:t>
      </w:r>
    </w:p>
    <w:p>
      <w:r>
        <w:rPr>
          <w:sz w:val="20"/>
        </w:rPr>
        <w:t>Note : seuils abaissés vs végétation naturelle car les tuiles 256px incluent des pixels mixtes (canopée + bitume + ombre), abaissant le NDVI moyen.</w:t>
      </w:r>
    </w:p>
    <w:p/>
    <w:p>
      <w:r>
        <w:rPr>
          <w:b/>
          <w:sz w:val="20"/>
        </w:rPr>
        <w:t>Implémentation</w:t>
      </w:r>
    </w:p>
    <w:p>
      <w:pPr>
        <w:pStyle w:val="ListBullet"/>
      </w:pPr>
      <w:r>
        <w:rPr>
          <w:sz w:val="20"/>
        </w:rPr>
        <w:t>Fichier : yolov8_urban_trees/health_analysis.py</w:t>
      </w:r>
    </w:p>
    <w:p>
      <w:pPr>
        <w:pStyle w:val="ListBullet"/>
      </w:pPr>
      <w:r>
        <w:rPr>
          <w:sz w:val="20"/>
        </w:rPr>
        <w:t>Fonctions : compute_ndvi(), classify_health(), draw_health_boxes(), health_summary()</w:t>
      </w:r>
    </w:p>
    <w:p>
      <w:pPr>
        <w:pStyle w:val="ListBullet"/>
      </w:pPr>
      <w:r>
        <w:rPr>
          <w:sz w:val="20"/>
        </w:rPr>
        <w:t>Intégré dans l'application Streamlit (onglets 2 et 3)</w:t>
      </w:r>
    </w:p>
    <w:p/>
    <w:p>
      <w:r>
        <w:rPr>
          <w:sz w:val="20"/>
        </w:rPr>
        <w:t>**Statut :** Implémentée et opérationnelle dans l'application.</w:t>
      </w:r>
    </w:p>
    <w:p>
      <w:pPr>
        <w:pStyle w:val="Heading1"/>
      </w:pPr>
      <w:r>
        <w:rPr>
          <w:color w:val="1A4A1A"/>
          <w:sz w:val="24"/>
        </w:rPr>
        <w:t>3. Hypothèse 3 — La santé des arbres varie selon la ville et l'année</w:t>
      </w:r>
    </w:p>
    <w:p>
      <w:r>
        <w:rPr>
          <w:b/>
          <w:sz w:val="20"/>
        </w:rPr>
        <w:t>Formulation</w:t>
      </w:r>
    </w:p>
    <w:p>
      <w:r>
        <w:rPr>
          <w:sz w:val="20"/>
        </w:rPr>
        <w:t>Les micro-forêts et espaces verts urbains présentent des NDVI différents selon la ville (climat, espèces) et l'année (sécheresse, croissance).</w:t>
      </w:r>
    </w:p>
    <w:p/>
    <w:p>
      <w:r>
        <w:rPr>
          <w:b/>
          <w:sz w:val="20"/>
        </w:rPr>
        <w:t>Test dans l'application</w:t>
      </w:r>
    </w:p>
    <w:p>
      <w:pPr>
        <w:pStyle w:val="ListBullet"/>
      </w:pPr>
      <w:r>
        <w:rPr>
          <w:sz w:val="20"/>
        </w:rPr>
        <w:t>L'onglet 'Demo — Compare Years' permet de comparer deux années pour le même site</w:t>
      </w:r>
    </w:p>
    <w:p>
      <w:pPr>
        <w:pStyle w:val="ListBullet"/>
      </w:pPr>
      <w:r>
        <w:rPr>
          <w:sz w:val="20"/>
        </w:rPr>
        <w:t>Les métriques NDVI (mean, min, max, % Healthy/Moderate/Stressed) sont calculées par tuile et affichées côte à côte</w:t>
      </w:r>
    </w:p>
    <w:p/>
    <w:p>
      <w:r>
        <w:rPr>
          <w:sz w:val="20"/>
        </w:rPr>
        <w:t>**Statut :** Testable via l'application. Analyse systématique sur l'ensemble du dataset (1 651 images, 8 villes) non encore réalisée — prévu F13-UC4.</w:t>
      </w:r>
    </w:p>
    <w:p>
      <w:pPr>
        <w:pStyle w:val="Heading1"/>
      </w:pPr>
      <w:r>
        <w:rPr>
          <w:color w:val="1A4A1A"/>
          <w:sz w:val="24"/>
        </w:rPr>
        <w:t>4. Lien avec le projet Micro-Forêt NEUSTA</w:t>
      </w:r>
    </w:p>
    <w:p>
      <w:r>
        <w:rPr>
          <w:sz w:val="20"/>
        </w:rPr>
        <w:t>La micro-forêt NEUSTA (plantée mars 2025, campus ISAE-SUPAERO, Toulouse) est une forêt Miyawaki de jeunes arbres. Les hypothèses formulées ici sont directement applicables à ce site dès qu'une image aérienne NAIP ou équivalente sera disponible :</w:t>
      </w:r>
    </w:p>
    <w:p>
      <w:pPr>
        <w:pStyle w:val="ListBullet"/>
      </w:pPr>
      <w:r>
        <w:rPr>
          <w:sz w:val="20"/>
        </w:rPr>
        <w:t>H1 : un modèle RGB+NIR détectera mieux les jeunes arbres à faible canopée</w:t>
      </w:r>
    </w:p>
    <w:p>
      <w:pPr>
        <w:pStyle w:val="ListBullet"/>
      </w:pPr>
      <w:r>
        <w:rPr>
          <w:sz w:val="20"/>
        </w:rPr>
        <w:t>H2 : le NDVI permettra de détecter les arbres en stress hydrique avant mortalité</w:t>
      </w:r>
    </w:p>
    <w:p>
      <w:pPr>
        <w:pStyle w:val="ListBullet"/>
      </w:pPr>
      <w:r>
        <w:rPr>
          <w:sz w:val="20"/>
        </w:rPr>
        <w:t>H3 : le suivi temporel (2025 → 2026 → ...) montrera la croissance de la forêt</w:t>
      </w:r>
    </w:p>
    <w:p>
      <w:r>
        <w:rPr>
          <w:sz w:val="20"/>
        </w:rPr>
        <w:t>Ces hypothèses complètent le pipeline IoT (ClimaTrack) déjà en place pour la surveillance de la température, humidité et stress atmosphérique.</w:t>
      </w:r>
    </w:p>
    <w:p>
      <w:pPr>
        <w:pStyle w:val="Heading1"/>
      </w:pPr>
      <w:r>
        <w:rPr>
          <w:color w:val="1A4A1A"/>
          <w:sz w:val="24"/>
        </w:rPr>
        <w:t>5. Statut</w:t>
      </w:r>
    </w:p>
    <w:p>
      <w:r>
        <w:rPr>
          <w:sz w:val="20"/>
        </w:rPr>
        <w:t>UC3 complété. Les trois hypothèses écologiques sont formulées, justifiées, et les deux premières sont implémentées et mesurables. La troisième est testable via l'application. Documentation intégrée dans health_analysis.py.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