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4799" w14:textId="77777777" w:rsidR="00AB57EB" w:rsidRDefault="00AB57EB">
      <w:pPr>
        <w:spacing w:before="2400"/>
      </w:pPr>
    </w:p>
    <w:p w14:paraId="129690ED" w14:textId="77777777" w:rsidR="00AB57EB" w:rsidRDefault="00000000">
      <w:pPr>
        <w:spacing w:after="80"/>
      </w:pPr>
      <w:r>
        <w:rPr>
          <w:b/>
          <w:bCs/>
          <w:color w:val="2E75B6"/>
        </w:rPr>
        <w:t>CONSEIL DÉPARTEMENTAL DES YVELINES</w:t>
      </w:r>
    </w:p>
    <w:p w14:paraId="35428D7E" w14:textId="77777777" w:rsidR="00AB57EB" w:rsidRDefault="00000000">
      <w:pPr>
        <w:pBdr>
          <w:bottom w:val="single" w:sz="24" w:space="8" w:color="1F4E79"/>
        </w:pBdr>
        <w:spacing w:after="40"/>
      </w:pPr>
      <w:r>
        <w:rPr>
          <w:b/>
          <w:bCs/>
          <w:color w:val="1F4E79"/>
          <w:sz w:val="72"/>
          <w:szCs w:val="72"/>
        </w:rPr>
        <w:t>Documentation</w:t>
      </w:r>
    </w:p>
    <w:p w14:paraId="553AF9DB" w14:textId="77777777" w:rsidR="00AB57EB" w:rsidRDefault="00000000">
      <w:pPr>
        <w:spacing w:before="60"/>
      </w:pPr>
      <w:r>
        <w:rPr>
          <w:color w:val="595959"/>
          <w:sz w:val="32"/>
          <w:szCs w:val="32"/>
        </w:rPr>
        <w:t>Migration des postes vers Windows 11</w:t>
      </w:r>
    </w:p>
    <w:p w14:paraId="529033A7" w14:textId="77777777" w:rsidR="00AB57EB" w:rsidRDefault="00000000">
      <w:pPr>
        <w:spacing w:before="20"/>
      </w:pPr>
      <w:r>
        <w:rPr>
          <w:i/>
          <w:iCs/>
          <w:color w:val="A6A6A6"/>
          <w:sz w:val="22"/>
          <w:szCs w:val="22"/>
        </w:rPr>
        <w:t>Déploiement par hiérarchie : SCCM, script de réparation et migration manuelle</w:t>
      </w:r>
    </w:p>
    <w:p w14:paraId="011A797E" w14:textId="77777777" w:rsidR="00AB57EB" w:rsidRDefault="00AB57EB">
      <w:pPr>
        <w:spacing w:before="3000"/>
      </w:pPr>
    </w:p>
    <w:tbl>
      <w:tblPr>
        <w:tblW w:w="9360" w:type="dxa"/>
        <w:tblBorders>
          <w:top w:val="single" w:sz="2" w:space="0" w:color="D0D7E2"/>
          <w:left w:val="single" w:sz="2" w:space="0" w:color="D0D7E2"/>
          <w:bottom w:val="single" w:sz="2" w:space="0" w:color="D0D7E2"/>
          <w:right w:val="single" w:sz="2"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B57EB" w14:paraId="7C400D6A" w14:textId="77777777">
        <w:tc>
          <w:tcPr>
            <w:tcW w:w="2600" w:type="dxa"/>
            <w:shd w:val="clear" w:color="auto" w:fill="EAF1F8"/>
            <w:tcMar>
              <w:top w:w="80" w:type="dxa"/>
              <w:left w:w="120" w:type="dxa"/>
              <w:bottom w:w="80" w:type="dxa"/>
              <w:right w:w="120" w:type="dxa"/>
            </w:tcMar>
            <w:vAlign w:val="center"/>
          </w:tcPr>
          <w:p w14:paraId="6FB398DC" w14:textId="77777777" w:rsidR="00AB57EB" w:rsidRDefault="00000000">
            <w:r>
              <w:rPr>
                <w:b/>
                <w:bCs/>
                <w:color w:val="1F4E79"/>
                <w:sz w:val="18"/>
                <w:szCs w:val="18"/>
              </w:rPr>
              <w:t>Auteur</w:t>
            </w:r>
          </w:p>
        </w:tc>
        <w:tc>
          <w:tcPr>
            <w:tcW w:w="6760" w:type="dxa"/>
            <w:tcMar>
              <w:top w:w="80" w:type="dxa"/>
              <w:left w:w="120" w:type="dxa"/>
              <w:bottom w:w="80" w:type="dxa"/>
              <w:right w:w="120" w:type="dxa"/>
            </w:tcMar>
            <w:vAlign w:val="center"/>
          </w:tcPr>
          <w:p w14:paraId="57FC11B4" w14:textId="77777777" w:rsidR="00AB57EB" w:rsidRDefault="00000000">
            <w:r>
              <w:rPr>
                <w:color w:val="1A1A1A"/>
                <w:sz w:val="18"/>
                <w:szCs w:val="18"/>
              </w:rPr>
              <w:t>BAJOU Sofian</w:t>
            </w:r>
          </w:p>
        </w:tc>
      </w:tr>
      <w:tr w:rsidR="00AB57EB" w14:paraId="7CB9382D" w14:textId="77777777">
        <w:tc>
          <w:tcPr>
            <w:tcW w:w="2600" w:type="dxa"/>
            <w:shd w:val="clear" w:color="auto" w:fill="EAF1F8"/>
            <w:tcMar>
              <w:top w:w="80" w:type="dxa"/>
              <w:left w:w="120" w:type="dxa"/>
              <w:bottom w:w="80" w:type="dxa"/>
              <w:right w:w="120" w:type="dxa"/>
            </w:tcMar>
            <w:vAlign w:val="center"/>
          </w:tcPr>
          <w:p w14:paraId="404F9258" w14:textId="77777777" w:rsidR="00AB57EB" w:rsidRDefault="00000000">
            <w:r>
              <w:rPr>
                <w:b/>
                <w:bCs/>
                <w:color w:val="1F4E79"/>
                <w:sz w:val="18"/>
                <w:szCs w:val="18"/>
              </w:rPr>
              <w:t>Formation</w:t>
            </w:r>
          </w:p>
        </w:tc>
        <w:tc>
          <w:tcPr>
            <w:tcW w:w="6760" w:type="dxa"/>
            <w:tcMar>
              <w:top w:w="80" w:type="dxa"/>
              <w:left w:w="120" w:type="dxa"/>
              <w:bottom w:w="80" w:type="dxa"/>
              <w:right w:w="120" w:type="dxa"/>
            </w:tcMar>
            <w:vAlign w:val="center"/>
          </w:tcPr>
          <w:p w14:paraId="47AE171B" w14:textId="77777777" w:rsidR="00AB57EB" w:rsidRDefault="00000000">
            <w:r>
              <w:rPr>
                <w:color w:val="1A1A1A"/>
                <w:sz w:val="18"/>
                <w:szCs w:val="18"/>
              </w:rPr>
              <w:t>BTS SIO — option SISR (2024-2026)</w:t>
            </w:r>
          </w:p>
        </w:tc>
      </w:tr>
      <w:tr w:rsidR="00AB57EB" w14:paraId="1C72A7CE" w14:textId="77777777">
        <w:tc>
          <w:tcPr>
            <w:tcW w:w="2600" w:type="dxa"/>
            <w:shd w:val="clear" w:color="auto" w:fill="EAF1F8"/>
            <w:tcMar>
              <w:top w:w="80" w:type="dxa"/>
              <w:left w:w="120" w:type="dxa"/>
              <w:bottom w:w="80" w:type="dxa"/>
              <w:right w:w="120" w:type="dxa"/>
            </w:tcMar>
            <w:vAlign w:val="center"/>
          </w:tcPr>
          <w:p w14:paraId="68AD2097" w14:textId="77777777" w:rsidR="00AB57EB" w:rsidRDefault="00000000">
            <w:r>
              <w:rPr>
                <w:b/>
                <w:bCs/>
                <w:color w:val="1F4E79"/>
                <w:sz w:val="18"/>
                <w:szCs w:val="18"/>
              </w:rPr>
              <w:t>Contexte</w:t>
            </w:r>
          </w:p>
        </w:tc>
        <w:tc>
          <w:tcPr>
            <w:tcW w:w="6760" w:type="dxa"/>
            <w:tcMar>
              <w:top w:w="80" w:type="dxa"/>
              <w:left w:w="120" w:type="dxa"/>
              <w:bottom w:w="80" w:type="dxa"/>
              <w:right w:w="120" w:type="dxa"/>
            </w:tcMar>
            <w:vAlign w:val="center"/>
          </w:tcPr>
          <w:p w14:paraId="54C81FA4" w14:textId="77777777" w:rsidR="00AB57EB" w:rsidRDefault="00000000">
            <w:r>
              <w:rPr>
                <w:color w:val="1A1A1A"/>
                <w:sz w:val="18"/>
                <w:szCs w:val="18"/>
              </w:rPr>
              <w:t>Alternance — Direction des Systèmes d'Information</w:t>
            </w:r>
          </w:p>
        </w:tc>
      </w:tr>
      <w:tr w:rsidR="00AB57EB" w14:paraId="6F273E85" w14:textId="77777777">
        <w:tc>
          <w:tcPr>
            <w:tcW w:w="2600" w:type="dxa"/>
            <w:shd w:val="clear" w:color="auto" w:fill="EAF1F8"/>
            <w:tcMar>
              <w:top w:w="80" w:type="dxa"/>
              <w:left w:w="120" w:type="dxa"/>
              <w:bottom w:w="80" w:type="dxa"/>
              <w:right w:w="120" w:type="dxa"/>
            </w:tcMar>
            <w:vAlign w:val="center"/>
          </w:tcPr>
          <w:p w14:paraId="759C396A" w14:textId="77777777" w:rsidR="00AB57EB" w:rsidRDefault="00000000">
            <w:r>
              <w:rPr>
                <w:b/>
                <w:bCs/>
                <w:color w:val="1F4E79"/>
                <w:sz w:val="18"/>
                <w:szCs w:val="18"/>
              </w:rPr>
              <w:t>Épreuve</w:t>
            </w:r>
          </w:p>
        </w:tc>
        <w:tc>
          <w:tcPr>
            <w:tcW w:w="6760" w:type="dxa"/>
            <w:tcMar>
              <w:top w:w="80" w:type="dxa"/>
              <w:left w:w="120" w:type="dxa"/>
              <w:bottom w:w="80" w:type="dxa"/>
              <w:right w:w="120" w:type="dxa"/>
            </w:tcMar>
            <w:vAlign w:val="center"/>
          </w:tcPr>
          <w:p w14:paraId="05537E77" w14:textId="77777777" w:rsidR="00AB57EB" w:rsidRDefault="00000000">
            <w:r>
              <w:rPr>
                <w:color w:val="1A1A1A"/>
                <w:sz w:val="18"/>
                <w:szCs w:val="18"/>
              </w:rPr>
              <w:t>E5 — Support et mise à disposition de services informatiques</w:t>
            </w:r>
          </w:p>
        </w:tc>
      </w:tr>
      <w:tr w:rsidR="00AB57EB" w14:paraId="4A404114" w14:textId="77777777">
        <w:tc>
          <w:tcPr>
            <w:tcW w:w="2600" w:type="dxa"/>
            <w:shd w:val="clear" w:color="auto" w:fill="EAF1F8"/>
            <w:tcMar>
              <w:top w:w="80" w:type="dxa"/>
              <w:left w:w="120" w:type="dxa"/>
              <w:bottom w:w="80" w:type="dxa"/>
              <w:right w:w="120" w:type="dxa"/>
            </w:tcMar>
            <w:vAlign w:val="center"/>
          </w:tcPr>
          <w:p w14:paraId="4F96635C" w14:textId="77777777" w:rsidR="00AB57EB" w:rsidRDefault="00000000">
            <w:r>
              <w:rPr>
                <w:b/>
                <w:bCs/>
                <w:color w:val="1F4E79"/>
                <w:sz w:val="18"/>
                <w:szCs w:val="18"/>
              </w:rPr>
              <w:t>Type de mission</w:t>
            </w:r>
          </w:p>
        </w:tc>
        <w:tc>
          <w:tcPr>
            <w:tcW w:w="6760" w:type="dxa"/>
            <w:tcMar>
              <w:top w:w="80" w:type="dxa"/>
              <w:left w:w="120" w:type="dxa"/>
              <w:bottom w:w="80" w:type="dxa"/>
              <w:right w:w="120" w:type="dxa"/>
            </w:tcMar>
            <w:vAlign w:val="center"/>
          </w:tcPr>
          <w:p w14:paraId="576EA1C1" w14:textId="77777777" w:rsidR="00AB57EB" w:rsidRDefault="00000000">
            <w:r>
              <w:rPr>
                <w:color w:val="1A1A1A"/>
                <w:sz w:val="18"/>
                <w:szCs w:val="18"/>
              </w:rPr>
              <w:t>Projet de migration de parc — fin du support Windows 10</w:t>
            </w:r>
          </w:p>
        </w:tc>
      </w:tr>
      <w:tr w:rsidR="00AB57EB" w14:paraId="4A65554C" w14:textId="77777777">
        <w:tc>
          <w:tcPr>
            <w:tcW w:w="2600" w:type="dxa"/>
            <w:shd w:val="clear" w:color="auto" w:fill="EAF1F8"/>
            <w:tcMar>
              <w:top w:w="80" w:type="dxa"/>
              <w:left w:w="120" w:type="dxa"/>
              <w:bottom w:w="80" w:type="dxa"/>
              <w:right w:w="120" w:type="dxa"/>
            </w:tcMar>
            <w:vAlign w:val="center"/>
          </w:tcPr>
          <w:p w14:paraId="1E0D7F8C" w14:textId="77777777" w:rsidR="00AB57EB" w:rsidRDefault="00000000">
            <w:r>
              <w:rPr>
                <w:b/>
                <w:bCs/>
                <w:color w:val="1F4E79"/>
                <w:sz w:val="18"/>
                <w:szCs w:val="18"/>
              </w:rPr>
              <w:t>Version</w:t>
            </w:r>
          </w:p>
        </w:tc>
        <w:tc>
          <w:tcPr>
            <w:tcW w:w="6760" w:type="dxa"/>
            <w:tcMar>
              <w:top w:w="80" w:type="dxa"/>
              <w:left w:w="120" w:type="dxa"/>
              <w:bottom w:w="80" w:type="dxa"/>
              <w:right w:w="120" w:type="dxa"/>
            </w:tcMar>
            <w:vAlign w:val="center"/>
          </w:tcPr>
          <w:p w14:paraId="06E2EB30" w14:textId="77777777" w:rsidR="00AB57EB" w:rsidRDefault="00000000">
            <w:r>
              <w:rPr>
                <w:color w:val="1A1A1A"/>
                <w:sz w:val="18"/>
                <w:szCs w:val="18"/>
              </w:rPr>
              <w:t>1.0</w:t>
            </w:r>
          </w:p>
        </w:tc>
      </w:tr>
    </w:tbl>
    <w:p w14:paraId="2C861BAD" w14:textId="77777777" w:rsidR="00AB57EB" w:rsidRDefault="00000000">
      <w:r>
        <w:br w:type="page"/>
      </w:r>
    </w:p>
    <w:p w14:paraId="2FE0983C" w14:textId="77777777" w:rsidR="00AB57EB" w:rsidRDefault="00000000">
      <w:pPr>
        <w:pBdr>
          <w:bottom w:val="single" w:sz="12" w:space="4" w:color="1F4E79"/>
        </w:pBdr>
        <w:spacing w:before="280" w:after="140"/>
      </w:pPr>
      <w:r>
        <w:rPr>
          <w:b/>
          <w:bCs/>
          <w:color w:val="1F4E79"/>
          <w:sz w:val="28"/>
          <w:szCs w:val="28"/>
        </w:rPr>
        <w:lastRenderedPageBreak/>
        <w:t>SOMMAIRE</w:t>
      </w:r>
    </w:p>
    <w:p w14:paraId="563D0E36" w14:textId="77777777" w:rsidR="00AB57EB" w:rsidRDefault="00000000">
      <w:pPr>
        <w:tabs>
          <w:tab w:val="left" w:pos="720"/>
          <w:tab w:val="right" w:leader="dot" w:pos="9200"/>
        </w:tabs>
        <w:spacing w:after="40"/>
      </w:pPr>
      <w:r>
        <w:tab/>
      </w:r>
      <w:r>
        <w:rPr>
          <w:b/>
          <w:bCs/>
          <w:color w:val="1F4E79"/>
        </w:rPr>
        <w:t xml:space="preserve">1.  </w:t>
      </w:r>
      <w:r>
        <w:rPr>
          <w:b/>
          <w:bCs/>
          <w:color w:val="1A1A1A"/>
        </w:rPr>
        <w:t>Contexte de la mission</w:t>
      </w:r>
    </w:p>
    <w:p w14:paraId="7F571457" w14:textId="77777777" w:rsidR="00AB57EB" w:rsidRDefault="00000000">
      <w:pPr>
        <w:tabs>
          <w:tab w:val="left" w:pos="720"/>
          <w:tab w:val="right" w:leader="dot" w:pos="9200"/>
        </w:tabs>
        <w:spacing w:after="40"/>
      </w:pPr>
      <w:r>
        <w:tab/>
      </w:r>
      <w:r>
        <w:rPr>
          <w:b/>
          <w:bCs/>
          <w:color w:val="1F4E79"/>
        </w:rPr>
        <w:t xml:space="preserve">2.  </w:t>
      </w:r>
      <w:r>
        <w:rPr>
          <w:b/>
          <w:bCs/>
          <w:color w:val="1A1A1A"/>
        </w:rPr>
        <w:t>Compétences E5 mobilisées</w:t>
      </w:r>
    </w:p>
    <w:p w14:paraId="4AB44EEE" w14:textId="77777777" w:rsidR="00AB57EB" w:rsidRDefault="00000000">
      <w:pPr>
        <w:tabs>
          <w:tab w:val="left" w:pos="720"/>
          <w:tab w:val="right" w:leader="dot" w:pos="9200"/>
        </w:tabs>
        <w:spacing w:after="40"/>
      </w:pPr>
      <w:r>
        <w:tab/>
      </w:r>
      <w:r>
        <w:rPr>
          <w:b/>
          <w:bCs/>
          <w:color w:val="1F4E79"/>
        </w:rPr>
        <w:t xml:space="preserve">3.  </w:t>
      </w:r>
      <w:r>
        <w:rPr>
          <w:b/>
          <w:bCs/>
          <w:color w:val="1A1A1A"/>
        </w:rPr>
        <w:t>Outils et environnement</w:t>
      </w:r>
    </w:p>
    <w:p w14:paraId="0244EE16" w14:textId="77777777" w:rsidR="00AB57EB" w:rsidRDefault="00000000">
      <w:pPr>
        <w:tabs>
          <w:tab w:val="left" w:pos="720"/>
          <w:tab w:val="right" w:leader="dot" w:pos="9200"/>
        </w:tabs>
        <w:spacing w:after="40"/>
      </w:pPr>
      <w:r>
        <w:tab/>
      </w:r>
      <w:r>
        <w:rPr>
          <w:b/>
          <w:bCs/>
          <w:color w:val="1F4E79"/>
        </w:rPr>
        <w:t xml:space="preserve">4.  </w:t>
      </w:r>
      <w:r>
        <w:rPr>
          <w:b/>
          <w:bCs/>
          <w:color w:val="1A1A1A"/>
        </w:rPr>
        <w:t>Prérequis avant la migration</w:t>
      </w:r>
    </w:p>
    <w:p w14:paraId="296E6B81" w14:textId="77777777" w:rsidR="00AB57EB" w:rsidRDefault="00000000">
      <w:pPr>
        <w:tabs>
          <w:tab w:val="left" w:pos="720"/>
          <w:tab w:val="right" w:leader="dot" w:pos="9200"/>
        </w:tabs>
        <w:spacing w:after="40"/>
      </w:pPr>
      <w:r>
        <w:tab/>
      </w:r>
      <w:r>
        <w:rPr>
          <w:b/>
          <w:bCs/>
          <w:color w:val="1F4E79"/>
        </w:rPr>
        <w:t xml:space="preserve">5.  </w:t>
      </w:r>
      <w:r>
        <w:rPr>
          <w:b/>
          <w:bCs/>
          <w:color w:val="1A1A1A"/>
        </w:rPr>
        <w:t>Procédure de déploiement par hiérarchie</w:t>
      </w:r>
    </w:p>
    <w:p w14:paraId="0C1EFF79" w14:textId="77777777" w:rsidR="00AB57EB" w:rsidRDefault="00000000">
      <w:pPr>
        <w:tabs>
          <w:tab w:val="left" w:pos="720"/>
          <w:tab w:val="right" w:leader="dot" w:pos="9200"/>
        </w:tabs>
        <w:spacing w:after="40"/>
      </w:pPr>
      <w:r>
        <w:tab/>
      </w:r>
      <w:proofErr w:type="gramStart"/>
      <w:r>
        <w:rPr>
          <w:color w:val="1F4E79"/>
        </w:rPr>
        <w:t xml:space="preserve">5.1  </w:t>
      </w:r>
      <w:r>
        <w:rPr>
          <w:color w:val="1A1A1A"/>
        </w:rPr>
        <w:t>Méthode</w:t>
      </w:r>
      <w:proofErr w:type="gramEnd"/>
      <w:r>
        <w:rPr>
          <w:color w:val="1A1A1A"/>
        </w:rPr>
        <w:t xml:space="preserve"> 1 — Déploiement automatisé via le Centre logiciel (SCCM)</w:t>
      </w:r>
    </w:p>
    <w:p w14:paraId="1C3B73A4" w14:textId="77777777" w:rsidR="00AB57EB" w:rsidRDefault="00000000">
      <w:pPr>
        <w:tabs>
          <w:tab w:val="left" w:pos="720"/>
          <w:tab w:val="right" w:leader="dot" w:pos="9200"/>
        </w:tabs>
        <w:spacing w:after="40"/>
      </w:pPr>
      <w:r>
        <w:tab/>
      </w:r>
      <w:proofErr w:type="gramStart"/>
      <w:r>
        <w:rPr>
          <w:color w:val="1F4E79"/>
        </w:rPr>
        <w:t xml:space="preserve">5.2  </w:t>
      </w:r>
      <w:r>
        <w:rPr>
          <w:color w:val="1A1A1A"/>
        </w:rPr>
        <w:t>Méthode</w:t>
      </w:r>
      <w:proofErr w:type="gramEnd"/>
      <w:r>
        <w:rPr>
          <w:color w:val="1A1A1A"/>
        </w:rPr>
        <w:t xml:space="preserve"> 2 — Réparation du client SCCM</w:t>
      </w:r>
    </w:p>
    <w:p w14:paraId="2FD01446" w14:textId="77777777" w:rsidR="00AB57EB" w:rsidRDefault="00000000">
      <w:pPr>
        <w:tabs>
          <w:tab w:val="left" w:pos="720"/>
          <w:tab w:val="right" w:leader="dot" w:pos="9200"/>
        </w:tabs>
        <w:spacing w:after="40"/>
      </w:pPr>
      <w:r>
        <w:tab/>
      </w:r>
      <w:proofErr w:type="gramStart"/>
      <w:r>
        <w:rPr>
          <w:color w:val="1F4E79"/>
        </w:rPr>
        <w:t xml:space="preserve">5.3  </w:t>
      </w:r>
      <w:r>
        <w:rPr>
          <w:color w:val="1A1A1A"/>
        </w:rPr>
        <w:t>Méthode</w:t>
      </w:r>
      <w:proofErr w:type="gramEnd"/>
      <w:r>
        <w:rPr>
          <w:color w:val="1A1A1A"/>
        </w:rPr>
        <w:t xml:space="preserve"> 3 — Migration manuelle via les sources réseau</w:t>
      </w:r>
    </w:p>
    <w:p w14:paraId="5CA69606" w14:textId="77777777" w:rsidR="00AB57EB" w:rsidRDefault="00000000">
      <w:pPr>
        <w:tabs>
          <w:tab w:val="left" w:pos="720"/>
          <w:tab w:val="right" w:leader="dot" w:pos="9200"/>
        </w:tabs>
        <w:spacing w:after="40"/>
      </w:pPr>
      <w:r>
        <w:tab/>
      </w:r>
      <w:r>
        <w:rPr>
          <w:b/>
          <w:bCs/>
          <w:color w:val="1F4E79"/>
        </w:rPr>
        <w:t xml:space="preserve">6.  </w:t>
      </w:r>
      <w:r>
        <w:rPr>
          <w:b/>
          <w:bCs/>
          <w:color w:val="1A1A1A"/>
        </w:rPr>
        <w:t>Accompagnement de l'agent et clôture</w:t>
      </w:r>
    </w:p>
    <w:p w14:paraId="7DD640CA" w14:textId="77777777" w:rsidR="00AB57EB" w:rsidRDefault="00000000">
      <w:pPr>
        <w:tabs>
          <w:tab w:val="left" w:pos="720"/>
          <w:tab w:val="right" w:leader="dot" w:pos="9200"/>
        </w:tabs>
        <w:spacing w:after="40"/>
      </w:pPr>
      <w:r>
        <w:tab/>
      </w:r>
      <w:r>
        <w:rPr>
          <w:b/>
          <w:bCs/>
          <w:color w:val="1F4E79"/>
        </w:rPr>
        <w:t xml:space="preserve">7.  </w:t>
      </w:r>
      <w:r>
        <w:rPr>
          <w:b/>
          <w:bCs/>
          <w:color w:val="1A1A1A"/>
        </w:rPr>
        <w:t xml:space="preserve">Bilan </w:t>
      </w:r>
    </w:p>
    <w:p w14:paraId="1F8072B5" w14:textId="77777777" w:rsidR="00AB57EB" w:rsidRDefault="00000000">
      <w:r>
        <w:br w:type="page"/>
      </w:r>
    </w:p>
    <w:p w14:paraId="1DBD3DD5" w14:textId="77777777" w:rsidR="00AB57EB" w:rsidRDefault="00000000">
      <w:pPr>
        <w:pBdr>
          <w:bottom w:val="single" w:sz="12" w:space="4" w:color="1F4E79"/>
        </w:pBdr>
        <w:spacing w:before="280" w:after="140"/>
      </w:pPr>
      <w:r>
        <w:rPr>
          <w:b/>
          <w:bCs/>
          <w:color w:val="1F4E79"/>
          <w:sz w:val="28"/>
          <w:szCs w:val="28"/>
        </w:rPr>
        <w:lastRenderedPageBreak/>
        <w:t>1. CONTEXTE DE LA MISSION</w:t>
      </w:r>
    </w:p>
    <w:p w14:paraId="7FF9D111" w14:textId="77777777" w:rsidR="00AB57EB" w:rsidRDefault="00000000">
      <w:pPr>
        <w:spacing w:after="120" w:line="276" w:lineRule="auto"/>
        <w:jc w:val="both"/>
      </w:pPr>
      <w:r>
        <w:rPr>
          <w:color w:val="1A1A1A"/>
        </w:rPr>
        <w:t>Le support de Windows 10 prenant prochainement fin (arrêt des mises à jour de sécurité par Microsoft), le Conseil Départemental des Yvelines a engagé une campagne de migration de l'ensemble de son parc de postes utilisateurs vers Windows 11. Cette campagne, organisée par la Direction des Systèmes d'Information, a duré environ deux mois et devait être finalisée avant le mois de mars afin d'anticiper toute exposition aux risques de sécurité liés à un système d'exploitation non maintenu.</w:t>
      </w:r>
    </w:p>
    <w:p w14:paraId="2DD67E53" w14:textId="77777777" w:rsidR="00AB57EB" w:rsidRDefault="00000000">
      <w:pPr>
        <w:spacing w:after="120" w:line="276" w:lineRule="auto"/>
        <w:jc w:val="both"/>
        <w:rPr>
          <w:color w:val="1A1A1A"/>
        </w:rPr>
      </w:pPr>
      <w:r>
        <w:rPr>
          <w:color w:val="1A1A1A"/>
        </w:rPr>
        <w:t>Dans le cadre de mon alternance à la DSI, j'ai participé activement au traitement individuel des postes à migrer. Le déploiement est organisé en trois niveaux successifs, du plus automatisé au plus manuel, afin de traiter en priorité les postes compatibles via les outils centralisés et de réserver l'intervention manuelle aux cas particuliers.</w:t>
      </w:r>
    </w:p>
    <w:p w14:paraId="18B90774" w14:textId="77777777" w:rsidR="00C54586" w:rsidRDefault="00C54586" w:rsidP="00C54586">
      <w:pPr>
        <w:spacing w:after="120" w:line="276" w:lineRule="auto"/>
        <w:jc w:val="both"/>
      </w:pPr>
      <w:r>
        <w:t>• Sécurité : éviter qu'un poste reste sur un</w:t>
      </w:r>
      <w:r w:rsidR="000F6B41">
        <w:t xml:space="preserve"> système d’exploitation</w:t>
      </w:r>
      <w:r>
        <w:t xml:space="preserve"> non maintenu après la fin du support</w:t>
      </w:r>
    </w:p>
    <w:p w14:paraId="0D5FA3B1" w14:textId="77777777" w:rsidR="00C54586" w:rsidRDefault="00C54586" w:rsidP="00C54586">
      <w:pPr>
        <w:spacing w:after="120" w:line="276" w:lineRule="auto"/>
        <w:jc w:val="both"/>
      </w:pPr>
      <w:r>
        <w:t>• Continuité de service : éviter d'entraver l'activité quotidienne des agents pendant la migration</w:t>
      </w:r>
    </w:p>
    <w:p w14:paraId="291779C5" w14:textId="77777777" w:rsidR="00FA1285" w:rsidRDefault="00000000">
      <w:pPr>
        <w:spacing w:before="160" w:after="40"/>
      </w:pPr>
      <w:r>
        <w:rPr>
          <w:b/>
          <w:color w:val="333333"/>
          <w:sz w:val="24"/>
        </w:rPr>
        <w:t>Suivi de la campagne</w:t>
      </w:r>
    </w:p>
    <w:p w14:paraId="04A74473" w14:textId="77777777" w:rsidR="00FA1285" w:rsidRDefault="00000000">
      <w:pPr>
        <w:spacing w:after="120"/>
        <w:jc w:val="both"/>
      </w:pPr>
      <w:r>
        <w:rPr>
          <w:sz w:val="22"/>
        </w:rPr>
        <w:t>Le pilotage de la campagne de migration est centralisé par la DSI. L'avancement est suivi sur la base de l'inventaire du parc et permet à l'équipe support de visualiser à tout moment les postes déjà migrés, ceux restant à traiter et ceux ayant rencontré un problème nécessitant une intervention spécifique. Cette visibilité d'ensemble facilite la priorisation des interventions et garantit qu'aucun poste n'est oublié avant la date butoir.</w:t>
      </w:r>
    </w:p>
    <w:p w14:paraId="1FF9A700" w14:textId="77777777" w:rsidR="00AB57EB" w:rsidRDefault="00000000">
      <w:pPr>
        <w:pBdr>
          <w:bottom w:val="single" w:sz="12" w:space="4" w:color="1F4E79"/>
        </w:pBdr>
        <w:spacing w:before="280" w:after="140"/>
      </w:pPr>
      <w:r>
        <w:rPr>
          <w:b/>
          <w:bCs/>
          <w:color w:val="1F4E79"/>
          <w:sz w:val="28"/>
          <w:szCs w:val="28"/>
        </w:rPr>
        <w:t>2. COMPÉTENCES E5 MOBILISÉES</w:t>
      </w:r>
    </w:p>
    <w:p w14:paraId="47887FD2" w14:textId="77777777" w:rsidR="00AB57EB" w:rsidRDefault="00000000">
      <w:pPr>
        <w:spacing w:after="120" w:line="276" w:lineRule="auto"/>
        <w:jc w:val="both"/>
      </w:pPr>
      <w:r>
        <w:rPr>
          <w:color w:val="1A1A1A"/>
        </w:rPr>
        <w:t>Cette réalisation s'inscrit dans une logique de projet et mobilise plusieurs compétences du bloc « Support et mise à disposition de services informatiques » évalué à l'épreuve E5.</w:t>
      </w:r>
    </w:p>
    <w:p w14:paraId="5A9C6671" w14:textId="77777777" w:rsidR="00AB57EB" w:rsidRDefault="00000000">
      <w:pPr>
        <w:spacing w:before="140" w:after="60"/>
      </w:pPr>
      <w:r>
        <w:rPr>
          <w:b/>
          <w:bCs/>
          <w:color w:val="333333"/>
          <w:sz w:val="22"/>
          <w:szCs w:val="22"/>
        </w:rPr>
        <w:t>Bloc 1 — Gérer le patrimoine informatique</w:t>
      </w:r>
    </w:p>
    <w:p w14:paraId="3D12DE02" w14:textId="77777777" w:rsidR="00AB57EB" w:rsidRDefault="00000000">
      <w:pPr>
        <w:pStyle w:val="ListParagraph"/>
        <w:numPr>
          <w:ilvl w:val="0"/>
          <w:numId w:val="2"/>
        </w:numPr>
        <w:spacing w:after="40" w:line="264" w:lineRule="auto"/>
      </w:pPr>
      <w:r>
        <w:rPr>
          <w:color w:val="1A1A1A"/>
        </w:rPr>
        <w:t>Recenser et identifier les ressources numériques (suivi des postes migrés vs restants)</w:t>
      </w:r>
    </w:p>
    <w:p w14:paraId="17DBCE37" w14:textId="77777777" w:rsidR="00AB57EB" w:rsidRDefault="00000000">
      <w:pPr>
        <w:pStyle w:val="ListParagraph"/>
        <w:numPr>
          <w:ilvl w:val="0"/>
          <w:numId w:val="2"/>
        </w:numPr>
        <w:spacing w:after="40" w:line="264" w:lineRule="auto"/>
      </w:pPr>
      <w:r>
        <w:rPr>
          <w:color w:val="1A1A1A"/>
        </w:rPr>
        <w:t>Vérifier les conditions de la continuité d'un service informatique (préservation des données et des applications de l'agent durant la migration)</w:t>
      </w:r>
    </w:p>
    <w:p w14:paraId="6682E580" w14:textId="77777777" w:rsidR="00AB57EB" w:rsidRDefault="00000000">
      <w:pPr>
        <w:spacing w:before="140" w:after="60"/>
      </w:pPr>
      <w:r>
        <w:rPr>
          <w:b/>
          <w:bCs/>
          <w:color w:val="333333"/>
          <w:sz w:val="22"/>
          <w:szCs w:val="22"/>
        </w:rPr>
        <w:t>Bloc 4 — Travailler en mode projet</w:t>
      </w:r>
    </w:p>
    <w:p w14:paraId="46AB5151" w14:textId="77777777" w:rsidR="00AB57EB" w:rsidRDefault="00000000">
      <w:pPr>
        <w:pStyle w:val="ListParagraph"/>
        <w:numPr>
          <w:ilvl w:val="0"/>
          <w:numId w:val="2"/>
        </w:numPr>
        <w:spacing w:after="40" w:line="264" w:lineRule="auto"/>
      </w:pPr>
      <w:r>
        <w:rPr>
          <w:color w:val="1A1A1A"/>
        </w:rPr>
        <w:t>Participer à la planification d'une activité (campagne de migration sur deux mois avec une date butoir)</w:t>
      </w:r>
    </w:p>
    <w:p w14:paraId="355B66E5" w14:textId="77777777" w:rsidR="00AB57EB" w:rsidRDefault="00000000">
      <w:pPr>
        <w:pStyle w:val="ListParagraph"/>
        <w:numPr>
          <w:ilvl w:val="0"/>
          <w:numId w:val="2"/>
        </w:numPr>
        <w:spacing w:after="40" w:line="264" w:lineRule="auto"/>
      </w:pPr>
      <w:r>
        <w:rPr>
          <w:color w:val="1A1A1A"/>
        </w:rPr>
        <w:t>Évaluer les indicateurs de suivi (postes migrés, postes restants, postes en échec)</w:t>
      </w:r>
    </w:p>
    <w:p w14:paraId="0E872A33" w14:textId="77777777" w:rsidR="00AB57EB" w:rsidRDefault="00000000">
      <w:pPr>
        <w:pStyle w:val="ListParagraph"/>
        <w:numPr>
          <w:ilvl w:val="0"/>
          <w:numId w:val="2"/>
        </w:numPr>
        <w:spacing w:after="40" w:line="264" w:lineRule="auto"/>
      </w:pPr>
      <w:r>
        <w:rPr>
          <w:color w:val="1A1A1A"/>
        </w:rPr>
        <w:t>Appliquer une méthode de résolution hiérarchisée (du plus automatisé au plus manuel)</w:t>
      </w:r>
    </w:p>
    <w:p w14:paraId="726A932F" w14:textId="77777777" w:rsidR="00AB57EB" w:rsidRDefault="00000000">
      <w:pPr>
        <w:spacing w:before="140" w:after="60"/>
      </w:pPr>
      <w:r>
        <w:rPr>
          <w:b/>
          <w:bCs/>
          <w:color w:val="333333"/>
          <w:sz w:val="22"/>
          <w:szCs w:val="22"/>
        </w:rPr>
        <w:t>Bloc 5 — Mettre à disposition un service informatique</w:t>
      </w:r>
    </w:p>
    <w:p w14:paraId="7D9D55CD" w14:textId="77777777" w:rsidR="00AB57EB" w:rsidRDefault="00000000">
      <w:pPr>
        <w:pStyle w:val="ListParagraph"/>
        <w:numPr>
          <w:ilvl w:val="0"/>
          <w:numId w:val="2"/>
        </w:numPr>
        <w:spacing w:after="40" w:line="264" w:lineRule="auto"/>
      </w:pPr>
      <w:r>
        <w:rPr>
          <w:color w:val="1A1A1A"/>
        </w:rPr>
        <w:t>Déployer un service (mise à disposition de Windows 11 sur le poste de l'agent)</w:t>
      </w:r>
    </w:p>
    <w:p w14:paraId="17F190B0" w14:textId="77777777" w:rsidR="00AB57EB" w:rsidRDefault="00000000">
      <w:pPr>
        <w:pStyle w:val="ListParagraph"/>
        <w:numPr>
          <w:ilvl w:val="0"/>
          <w:numId w:val="2"/>
        </w:numPr>
        <w:spacing w:after="40" w:line="264" w:lineRule="auto"/>
      </w:pPr>
      <w:r>
        <w:rPr>
          <w:color w:val="1A1A1A"/>
        </w:rPr>
        <w:t xml:space="preserve">Accompagner les utilisateurs dans la mise en place d'un service (information préalable, conseils </w:t>
      </w:r>
      <w:r w:rsidR="00AE764C">
        <w:rPr>
          <w:color w:val="1A1A1A"/>
        </w:rPr>
        <w:t>et accompagnemen</w:t>
      </w:r>
      <w:r>
        <w:rPr>
          <w:color w:val="1A1A1A"/>
        </w:rPr>
        <w:t>t)</w:t>
      </w:r>
    </w:p>
    <w:p w14:paraId="2948631E" w14:textId="77777777" w:rsidR="00AB57EB" w:rsidRDefault="00000000">
      <w:pPr>
        <w:pBdr>
          <w:bottom w:val="single" w:sz="12" w:space="4" w:color="1F4E79"/>
        </w:pBdr>
        <w:spacing w:before="280" w:after="140"/>
      </w:pPr>
      <w:r>
        <w:rPr>
          <w:b/>
          <w:bCs/>
          <w:color w:val="1F4E79"/>
          <w:sz w:val="28"/>
          <w:szCs w:val="28"/>
        </w:rPr>
        <w:t>3. OUTILS ET ENVIRONNEMENT</w:t>
      </w:r>
    </w:p>
    <w:tbl>
      <w:tblPr>
        <w:tblW w:w="9360" w:type="dxa"/>
        <w:tblBorders>
          <w:top w:val="single" w:sz="2" w:space="0" w:color="D0D7E2"/>
          <w:left w:val="single" w:sz="2" w:space="0" w:color="D0D7E2"/>
          <w:bottom w:val="single" w:sz="2" w:space="0" w:color="D0D7E2"/>
          <w:right w:val="single" w:sz="2"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B57EB" w14:paraId="0D6EBBDD" w14:textId="77777777">
        <w:tc>
          <w:tcPr>
            <w:tcW w:w="2600" w:type="dxa"/>
            <w:shd w:val="clear" w:color="auto" w:fill="EAF1F8"/>
            <w:tcMar>
              <w:top w:w="80" w:type="dxa"/>
              <w:left w:w="120" w:type="dxa"/>
              <w:bottom w:w="80" w:type="dxa"/>
              <w:right w:w="120" w:type="dxa"/>
            </w:tcMar>
            <w:vAlign w:val="center"/>
          </w:tcPr>
          <w:p w14:paraId="590F2BB2" w14:textId="77777777" w:rsidR="00AB57EB" w:rsidRDefault="00000000">
            <w:r>
              <w:rPr>
                <w:b/>
                <w:bCs/>
                <w:color w:val="1F4E79"/>
                <w:sz w:val="18"/>
                <w:szCs w:val="18"/>
              </w:rPr>
              <w:t>Microsoft Configuration Manager (SCCM)</w:t>
            </w:r>
          </w:p>
        </w:tc>
        <w:tc>
          <w:tcPr>
            <w:tcW w:w="6760" w:type="dxa"/>
            <w:tcMar>
              <w:top w:w="80" w:type="dxa"/>
              <w:left w:w="120" w:type="dxa"/>
              <w:bottom w:w="80" w:type="dxa"/>
              <w:right w:w="120" w:type="dxa"/>
            </w:tcMar>
            <w:vAlign w:val="center"/>
          </w:tcPr>
          <w:p w14:paraId="360C358A" w14:textId="77777777" w:rsidR="00AB57EB" w:rsidRDefault="00000000">
            <w:r>
              <w:rPr>
                <w:color w:val="1A1A1A"/>
                <w:sz w:val="18"/>
                <w:szCs w:val="18"/>
              </w:rPr>
              <w:t>Solution de gestion centralisée du parc — déploiement des stratégies et applications</w:t>
            </w:r>
          </w:p>
        </w:tc>
      </w:tr>
      <w:tr w:rsidR="00AB57EB" w14:paraId="3669DD21" w14:textId="77777777">
        <w:tc>
          <w:tcPr>
            <w:tcW w:w="2600" w:type="dxa"/>
            <w:shd w:val="clear" w:color="auto" w:fill="EAF1F8"/>
            <w:tcMar>
              <w:top w:w="80" w:type="dxa"/>
              <w:left w:w="120" w:type="dxa"/>
              <w:bottom w:w="80" w:type="dxa"/>
              <w:right w:w="120" w:type="dxa"/>
            </w:tcMar>
            <w:vAlign w:val="center"/>
          </w:tcPr>
          <w:p w14:paraId="6C29C0C2" w14:textId="77777777" w:rsidR="00AB57EB" w:rsidRDefault="00000000">
            <w:r>
              <w:rPr>
                <w:b/>
                <w:bCs/>
                <w:color w:val="1F4E79"/>
                <w:sz w:val="18"/>
                <w:szCs w:val="18"/>
              </w:rPr>
              <w:t>Centre logiciel</w:t>
            </w:r>
          </w:p>
        </w:tc>
        <w:tc>
          <w:tcPr>
            <w:tcW w:w="6760" w:type="dxa"/>
            <w:tcMar>
              <w:top w:w="80" w:type="dxa"/>
              <w:left w:w="120" w:type="dxa"/>
              <w:bottom w:w="80" w:type="dxa"/>
              <w:right w:w="120" w:type="dxa"/>
            </w:tcMar>
            <w:vAlign w:val="center"/>
          </w:tcPr>
          <w:p w14:paraId="18D4CA84" w14:textId="77777777" w:rsidR="00AB57EB" w:rsidRDefault="00000000">
            <w:r>
              <w:rPr>
                <w:color w:val="1A1A1A"/>
                <w:sz w:val="18"/>
                <w:szCs w:val="18"/>
              </w:rPr>
              <w:t>Application client visible sur le poste de l'agent — interface de lancement de la migration</w:t>
            </w:r>
          </w:p>
        </w:tc>
      </w:tr>
      <w:tr w:rsidR="00AB57EB" w14:paraId="37B53DF0" w14:textId="77777777">
        <w:tc>
          <w:tcPr>
            <w:tcW w:w="2600" w:type="dxa"/>
            <w:shd w:val="clear" w:color="auto" w:fill="EAF1F8"/>
            <w:tcMar>
              <w:top w:w="80" w:type="dxa"/>
              <w:left w:w="120" w:type="dxa"/>
              <w:bottom w:w="80" w:type="dxa"/>
              <w:right w:w="120" w:type="dxa"/>
            </w:tcMar>
            <w:vAlign w:val="center"/>
          </w:tcPr>
          <w:p w14:paraId="16551727" w14:textId="77777777" w:rsidR="00AB57EB" w:rsidRDefault="00000000">
            <w:r>
              <w:rPr>
                <w:b/>
                <w:bCs/>
                <w:color w:val="1F4E79"/>
                <w:sz w:val="18"/>
                <w:szCs w:val="18"/>
              </w:rPr>
              <w:t xml:space="preserve">Script </w:t>
            </w:r>
            <w:proofErr w:type="spellStart"/>
            <w:r>
              <w:rPr>
                <w:b/>
                <w:bCs/>
                <w:color w:val="1F4E79"/>
                <w:sz w:val="18"/>
                <w:szCs w:val="18"/>
              </w:rPr>
              <w:t>sccm_repair</w:t>
            </w:r>
            <w:proofErr w:type="spellEnd"/>
          </w:p>
        </w:tc>
        <w:tc>
          <w:tcPr>
            <w:tcW w:w="6760" w:type="dxa"/>
            <w:tcMar>
              <w:top w:w="80" w:type="dxa"/>
              <w:left w:w="120" w:type="dxa"/>
              <w:bottom w:w="80" w:type="dxa"/>
              <w:right w:w="120" w:type="dxa"/>
            </w:tcMar>
            <w:vAlign w:val="center"/>
          </w:tcPr>
          <w:p w14:paraId="5965F6AD" w14:textId="77777777" w:rsidR="00AB57EB" w:rsidRDefault="00000000">
            <w:r>
              <w:rPr>
                <w:color w:val="1A1A1A"/>
                <w:sz w:val="18"/>
                <w:szCs w:val="18"/>
              </w:rPr>
              <w:t>Script interne disponible sur un serveur de la DSI — réparation du client SCCM en cas de dysfonctionnement</w:t>
            </w:r>
          </w:p>
        </w:tc>
      </w:tr>
      <w:tr w:rsidR="00AB57EB" w14:paraId="45E6075F" w14:textId="77777777">
        <w:tc>
          <w:tcPr>
            <w:tcW w:w="2600" w:type="dxa"/>
            <w:shd w:val="clear" w:color="auto" w:fill="EAF1F8"/>
            <w:tcMar>
              <w:top w:w="80" w:type="dxa"/>
              <w:left w:w="120" w:type="dxa"/>
              <w:bottom w:w="80" w:type="dxa"/>
              <w:right w:w="120" w:type="dxa"/>
            </w:tcMar>
            <w:vAlign w:val="center"/>
          </w:tcPr>
          <w:p w14:paraId="3F15FA07" w14:textId="77777777" w:rsidR="00AB57EB" w:rsidRDefault="00000000">
            <w:r>
              <w:rPr>
                <w:b/>
                <w:bCs/>
                <w:color w:val="1F4E79"/>
                <w:sz w:val="18"/>
                <w:szCs w:val="18"/>
              </w:rPr>
              <w:t>Partage réseau \\hdd01-037\SourcesLogiciels</w:t>
            </w:r>
          </w:p>
        </w:tc>
        <w:tc>
          <w:tcPr>
            <w:tcW w:w="6760" w:type="dxa"/>
            <w:tcMar>
              <w:top w:w="80" w:type="dxa"/>
              <w:left w:w="120" w:type="dxa"/>
              <w:bottom w:w="80" w:type="dxa"/>
              <w:right w:w="120" w:type="dxa"/>
            </w:tcMar>
            <w:vAlign w:val="center"/>
          </w:tcPr>
          <w:p w14:paraId="4925B037" w14:textId="77777777" w:rsidR="00AB57EB" w:rsidRDefault="00000000">
            <w:r>
              <w:rPr>
                <w:color w:val="1A1A1A"/>
                <w:sz w:val="18"/>
                <w:szCs w:val="18"/>
              </w:rPr>
              <w:t>Serveur interne hébergeant les sources d'installation de Windows 11</w:t>
            </w:r>
          </w:p>
        </w:tc>
      </w:tr>
      <w:tr w:rsidR="00AB57EB" w14:paraId="2013917D" w14:textId="77777777">
        <w:tc>
          <w:tcPr>
            <w:tcW w:w="2600" w:type="dxa"/>
            <w:shd w:val="clear" w:color="auto" w:fill="EAF1F8"/>
            <w:tcMar>
              <w:top w:w="80" w:type="dxa"/>
              <w:left w:w="120" w:type="dxa"/>
              <w:bottom w:w="80" w:type="dxa"/>
              <w:right w:w="120" w:type="dxa"/>
            </w:tcMar>
            <w:vAlign w:val="center"/>
          </w:tcPr>
          <w:p w14:paraId="24B595BD" w14:textId="77777777" w:rsidR="00AB57EB" w:rsidRDefault="00000000">
            <w:r>
              <w:rPr>
                <w:b/>
                <w:bCs/>
                <w:color w:val="1F4E79"/>
                <w:sz w:val="18"/>
                <w:szCs w:val="18"/>
              </w:rPr>
              <w:t>EasyVista</w:t>
            </w:r>
          </w:p>
        </w:tc>
        <w:tc>
          <w:tcPr>
            <w:tcW w:w="6760" w:type="dxa"/>
            <w:tcMar>
              <w:top w:w="80" w:type="dxa"/>
              <w:left w:w="120" w:type="dxa"/>
              <w:bottom w:w="80" w:type="dxa"/>
              <w:right w:w="120" w:type="dxa"/>
            </w:tcMar>
            <w:vAlign w:val="center"/>
          </w:tcPr>
          <w:p w14:paraId="653E3F69" w14:textId="77777777" w:rsidR="00AB57EB" w:rsidRDefault="00000000">
            <w:r>
              <w:rPr>
                <w:color w:val="1A1A1A"/>
                <w:sz w:val="18"/>
                <w:szCs w:val="18"/>
              </w:rPr>
              <w:t>Outil ITSM utilisé pour le suivi des tickets de migration et la traçabilité</w:t>
            </w:r>
          </w:p>
        </w:tc>
      </w:tr>
    </w:tbl>
    <w:p w14:paraId="29C122EE" w14:textId="77777777" w:rsidR="00AB57EB" w:rsidRDefault="00000000">
      <w:pPr>
        <w:pBdr>
          <w:bottom w:val="single" w:sz="12" w:space="4" w:color="1F4E79"/>
        </w:pBdr>
        <w:spacing w:before="280" w:after="140"/>
      </w:pPr>
      <w:r>
        <w:rPr>
          <w:b/>
          <w:bCs/>
          <w:color w:val="1F4E79"/>
          <w:sz w:val="28"/>
          <w:szCs w:val="28"/>
        </w:rPr>
        <w:lastRenderedPageBreak/>
        <w:t>4. PRÉREQUIS AVANT LA MIGRATION</w:t>
      </w:r>
    </w:p>
    <w:p w14:paraId="7165D8FA" w14:textId="77777777" w:rsidR="00AB57EB" w:rsidRDefault="00000000">
      <w:pPr>
        <w:spacing w:after="120" w:line="276" w:lineRule="auto"/>
        <w:jc w:val="both"/>
      </w:pPr>
      <w:r>
        <w:rPr>
          <w:color w:val="1A1A1A"/>
        </w:rPr>
        <w:t>Avant de lancer la migration sur un poste, plusieurs vérifications sont indispensables pour garantir le bon déroulement de l'opération et éviter toute perte de données ou interruption de service prolongée.</w:t>
      </w:r>
    </w:p>
    <w:p w14:paraId="6B41EAD3" w14:textId="77777777" w:rsidR="00AB57EB" w:rsidRDefault="00000000">
      <w:pPr>
        <w:spacing w:before="140" w:after="60"/>
      </w:pPr>
      <w:r>
        <w:rPr>
          <w:b/>
          <w:bCs/>
          <w:color w:val="333333"/>
          <w:sz w:val="22"/>
          <w:szCs w:val="22"/>
        </w:rPr>
        <w:t>Espace disque disponible</w:t>
      </w:r>
    </w:p>
    <w:p w14:paraId="5ADA922B" w14:textId="77777777" w:rsidR="00AB57EB" w:rsidRDefault="00000000">
      <w:pPr>
        <w:spacing w:after="100" w:line="276" w:lineRule="auto"/>
        <w:jc w:val="both"/>
      </w:pPr>
      <w:r>
        <w:rPr>
          <w:color w:val="1A1A1A"/>
        </w:rPr>
        <w:t xml:space="preserve">La migration vers Windows 11 nécessite un minimum de 64 Go d'espace libre sur le disque système. Cette exigence est liée à la taille des fichiers d'installation et à l'espace nécessaire à la conservation temporaire de l'ancien </w:t>
      </w:r>
      <w:proofErr w:type="gramStart"/>
      <w:r>
        <w:rPr>
          <w:color w:val="1A1A1A"/>
        </w:rPr>
        <w:t xml:space="preserve">système </w:t>
      </w:r>
      <w:r w:rsidR="00AE764C">
        <w:rPr>
          <w:color w:val="1A1A1A"/>
        </w:rPr>
        <w:t>.</w:t>
      </w:r>
      <w:r>
        <w:rPr>
          <w:color w:val="1A1A1A"/>
        </w:rPr>
        <w:t>Si</w:t>
      </w:r>
      <w:proofErr w:type="gramEnd"/>
      <w:r>
        <w:rPr>
          <w:color w:val="1A1A1A"/>
        </w:rPr>
        <w:t xml:space="preserve"> le poste ne dispose pas de cet espace, je libère préalablement de la place avec l'agent (suppression de fichiers obsolètes, nettoyage des téléchargements)</w:t>
      </w:r>
      <w:r w:rsidR="00AE764C">
        <w:rPr>
          <w:color w:val="1A1A1A"/>
        </w:rPr>
        <w:t xml:space="preserve"> ou clean &amp;temp&amp; pour enlever les fichiers </w:t>
      </w:r>
      <w:proofErr w:type="gramStart"/>
      <w:r w:rsidR="00AE764C">
        <w:rPr>
          <w:color w:val="1A1A1A"/>
        </w:rPr>
        <w:t>temporaires( ca</w:t>
      </w:r>
      <w:proofErr w:type="gramEnd"/>
      <w:r w:rsidR="00AE764C">
        <w:rPr>
          <w:color w:val="1A1A1A"/>
        </w:rPr>
        <w:t xml:space="preserve"> m’est déjà arrivé d’enlever 30 go de fichiers temporaires sur un pc)</w:t>
      </w:r>
      <w:r>
        <w:rPr>
          <w:color w:val="1A1A1A"/>
        </w:rPr>
        <w:t>.</w:t>
      </w:r>
    </w:p>
    <w:p w14:paraId="0E265CA8" w14:textId="77777777" w:rsidR="00AB57EB" w:rsidRDefault="00000000">
      <w:pPr>
        <w:spacing w:before="140" w:after="60"/>
      </w:pPr>
      <w:r>
        <w:rPr>
          <w:b/>
          <w:bCs/>
          <w:color w:val="333333"/>
          <w:sz w:val="22"/>
          <w:szCs w:val="22"/>
        </w:rPr>
        <w:t>Conseil sur le moment de lancement</w:t>
      </w:r>
    </w:p>
    <w:p w14:paraId="70BD551F" w14:textId="77777777" w:rsidR="00AB57EB" w:rsidRDefault="00000000">
      <w:pPr>
        <w:spacing w:after="100" w:line="276" w:lineRule="auto"/>
        <w:jc w:val="both"/>
      </w:pPr>
      <w:r>
        <w:rPr>
          <w:color w:val="1A1A1A"/>
        </w:rPr>
        <w:t>La migration prenant environ une heure, je conseille systématiquement à l'agent de la lancer avant la pause déjeuner. Ainsi, le poste effectue la mise à jour pendant la pause sans entraver l'activité de l'après-midi.</w:t>
      </w:r>
    </w:p>
    <w:p w14:paraId="2A777A07" w14:textId="77777777" w:rsidR="00FA1285" w:rsidRDefault="00000000">
      <w:pPr>
        <w:spacing w:before="280" w:after="120"/>
      </w:pPr>
      <w:r>
        <w:rPr>
          <w:b/>
          <w:color w:val="1F4E79"/>
          <w:sz w:val="28"/>
        </w:rPr>
        <w:t>4-BIS. IDENTIFICATION DES POSTES ÉLIGIBLES</w:t>
      </w:r>
    </w:p>
    <w:p w14:paraId="44912A72" w14:textId="77777777" w:rsidR="00FA1285" w:rsidRDefault="00000000">
      <w:pPr>
        <w:spacing w:after="120"/>
        <w:jc w:val="both"/>
      </w:pPr>
      <w:r>
        <w:rPr>
          <w:sz w:val="22"/>
        </w:rPr>
        <w:t>Tous les postes du parc ne sont pas systématiquement éligibles à Windows 11. Microsoft impose des prérequis matériels (puce TPM 2.0 activée, démarrage sécurisé, processeur compatible, espace disque suffisant). Avant ou pendant la campagne, il est donc essentiel de distinguer les postes migrables des postes incompatibles.</w:t>
      </w:r>
    </w:p>
    <w:p w14:paraId="10163155" w14:textId="77777777" w:rsidR="00FA1285" w:rsidRDefault="00000000">
      <w:pPr>
        <w:spacing w:before="160" w:after="40"/>
      </w:pPr>
      <w:r>
        <w:rPr>
          <w:b/>
          <w:color w:val="333333"/>
          <w:sz w:val="24"/>
        </w:rPr>
        <w:t>Postes compatibles</w:t>
      </w:r>
    </w:p>
    <w:p w14:paraId="3E6F3C28" w14:textId="77777777" w:rsidR="00FA1285" w:rsidRDefault="00000000">
      <w:pPr>
        <w:spacing w:after="120"/>
        <w:jc w:val="both"/>
      </w:pPr>
      <w:r>
        <w:rPr>
          <w:sz w:val="22"/>
        </w:rPr>
        <w:t>Pour la grande majorité des postes du parc, la compatibilité est validée automatiquement par SCCM, qui ne propose la migration via le Centre logiciel qu'aux postes éligibles. Si la migration apparaît dans le Centre logiciel, c'est que le poste est techniquement prêt.</w:t>
      </w:r>
    </w:p>
    <w:p w14:paraId="4C639FCD" w14:textId="77777777" w:rsidR="00FA1285" w:rsidRDefault="00000000">
      <w:pPr>
        <w:spacing w:before="160" w:after="40"/>
      </w:pPr>
      <w:r>
        <w:rPr>
          <w:b/>
          <w:color w:val="333333"/>
          <w:sz w:val="24"/>
        </w:rPr>
        <w:t>Postes incompatibles ou en limite</w:t>
      </w:r>
    </w:p>
    <w:p w14:paraId="24F64A13" w14:textId="6840A48A" w:rsidR="00FA1285" w:rsidRDefault="00000000">
      <w:pPr>
        <w:spacing w:after="120"/>
        <w:jc w:val="both"/>
      </w:pPr>
      <w:r>
        <w:rPr>
          <w:sz w:val="22"/>
        </w:rPr>
        <w:t xml:space="preserve">Pour les postes ne remplissant pas les prérequis matériels (matériel ancien), </w:t>
      </w:r>
      <w:r w:rsidR="008249DA">
        <w:rPr>
          <w:sz w:val="22"/>
        </w:rPr>
        <w:t>une</w:t>
      </w:r>
      <w:r>
        <w:rPr>
          <w:sz w:val="22"/>
        </w:rPr>
        <w:t xml:space="preserve"> option </w:t>
      </w:r>
      <w:r w:rsidR="008249DA">
        <w:rPr>
          <w:sz w:val="22"/>
        </w:rPr>
        <w:t>es</w:t>
      </w:r>
      <w:r>
        <w:rPr>
          <w:sz w:val="22"/>
        </w:rPr>
        <w:t xml:space="preserve">t envisagée en concertation avec </w:t>
      </w:r>
      <w:proofErr w:type="gramStart"/>
      <w:r w:rsidR="008249DA">
        <w:rPr>
          <w:sz w:val="22"/>
        </w:rPr>
        <w:t>les différents service</w:t>
      </w:r>
      <w:proofErr w:type="gramEnd"/>
      <w:r w:rsidR="008249DA">
        <w:rPr>
          <w:sz w:val="22"/>
        </w:rPr>
        <w:t xml:space="preserve"> de la</w:t>
      </w:r>
      <w:r>
        <w:rPr>
          <w:sz w:val="22"/>
        </w:rPr>
        <w:t xml:space="preserve"> DSI </w:t>
      </w:r>
      <w:r w:rsidR="008249DA">
        <w:rPr>
          <w:sz w:val="22"/>
        </w:rPr>
        <w:t>(le parc informatique et nous</w:t>
      </w:r>
      <w:proofErr w:type="gramStart"/>
      <w:r w:rsidR="008249DA">
        <w:rPr>
          <w:sz w:val="22"/>
        </w:rPr>
        <w:t>)</w:t>
      </w:r>
      <w:r>
        <w:rPr>
          <w:sz w:val="22"/>
        </w:rPr>
        <w:t>:</w:t>
      </w:r>
      <w:proofErr w:type="gramEnd"/>
    </w:p>
    <w:p w14:paraId="17848323" w14:textId="77777777" w:rsidR="00FA1285" w:rsidRDefault="00000000">
      <w:pPr>
        <w:spacing w:after="120"/>
        <w:ind w:left="360"/>
        <w:jc w:val="both"/>
      </w:pPr>
      <w:r>
        <w:rPr>
          <w:sz w:val="22"/>
        </w:rPr>
        <w:t>•   Remplacement du poste par un modèle plus récent dans le cadre du renouvellement classique du parc.</w:t>
      </w:r>
    </w:p>
    <w:p w14:paraId="5984F3A9" w14:textId="77777777" w:rsidR="00AB57EB" w:rsidRDefault="00000000">
      <w:pPr>
        <w:pBdr>
          <w:bottom w:val="single" w:sz="12" w:space="4" w:color="1F4E79"/>
        </w:pBdr>
        <w:spacing w:before="280" w:after="140"/>
      </w:pPr>
      <w:r>
        <w:rPr>
          <w:b/>
          <w:bCs/>
          <w:color w:val="1F4E79"/>
          <w:sz w:val="28"/>
          <w:szCs w:val="28"/>
        </w:rPr>
        <w:t>5. PROCÉDURE DE DÉPLOIEMENT PAR HIÉRARCHIE</w:t>
      </w:r>
    </w:p>
    <w:p w14:paraId="5C847C19" w14:textId="77777777" w:rsidR="00AB57EB" w:rsidRDefault="00000000">
      <w:pPr>
        <w:spacing w:after="120" w:line="276" w:lineRule="auto"/>
        <w:jc w:val="both"/>
      </w:pPr>
      <w:r>
        <w:rPr>
          <w:color w:val="1A1A1A"/>
        </w:rPr>
        <w:t>Trois méthodes sont employées successivement, dans un ordre précis : on commence toujours par la méthode la plus automatisée, et l'on passe à la suivante uniquement si la précédente n'aboutit pas. Cette logique « par hiérarchie » permet de traiter rapidement la majorité des postes via le canal automatisé et de réserver les interventions plus longues aux cas particuliers</w:t>
      </w:r>
      <w:r w:rsidR="00260FC5">
        <w:rPr>
          <w:color w:val="1A1A1A"/>
        </w:rPr>
        <w:t xml:space="preserve"> au cas ou </w:t>
      </w:r>
      <w:proofErr w:type="gramStart"/>
      <w:r w:rsidR="00260FC5">
        <w:rPr>
          <w:color w:val="1A1A1A"/>
        </w:rPr>
        <w:t>ca</w:t>
      </w:r>
      <w:proofErr w:type="gramEnd"/>
      <w:r w:rsidR="00260FC5">
        <w:rPr>
          <w:color w:val="1A1A1A"/>
        </w:rPr>
        <w:t xml:space="preserve"> ne marcherait pas </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AB57EB" w14:paraId="17534611" w14:textId="77777777">
        <w:tc>
          <w:tcPr>
            <w:tcW w:w="1100" w:type="dxa"/>
            <w:shd w:val="clear" w:color="auto" w:fill="1F4E79"/>
            <w:tcMar>
              <w:top w:w="80" w:type="dxa"/>
              <w:left w:w="100" w:type="dxa"/>
              <w:bottom w:w="80" w:type="dxa"/>
              <w:right w:w="100" w:type="dxa"/>
            </w:tcMar>
            <w:vAlign w:val="center"/>
          </w:tcPr>
          <w:p w14:paraId="6199C5E3" w14:textId="77777777" w:rsidR="00AB57EB" w:rsidRDefault="00000000">
            <w:pPr>
              <w:jc w:val="center"/>
            </w:pPr>
            <w:r>
              <w:rPr>
                <w:b/>
                <w:bCs/>
                <w:color w:val="FFFFFF"/>
                <w:sz w:val="22"/>
                <w:szCs w:val="22"/>
              </w:rPr>
              <w:t>N° 1</w:t>
            </w:r>
          </w:p>
        </w:tc>
        <w:tc>
          <w:tcPr>
            <w:tcW w:w="8260" w:type="dxa"/>
            <w:tcMar>
              <w:top w:w="80" w:type="dxa"/>
              <w:left w:w="200" w:type="dxa"/>
              <w:bottom w:w="80" w:type="dxa"/>
              <w:right w:w="120" w:type="dxa"/>
            </w:tcMar>
            <w:vAlign w:val="center"/>
          </w:tcPr>
          <w:p w14:paraId="63498A80" w14:textId="77777777" w:rsidR="00AB57EB" w:rsidRDefault="00000000">
            <w:r>
              <w:rPr>
                <w:b/>
                <w:bCs/>
                <w:color w:val="1F4E79"/>
                <w:sz w:val="24"/>
                <w:szCs w:val="24"/>
              </w:rPr>
              <w:t>Déploiement automatisé via le Centre logiciel (SCCM)</w:t>
            </w:r>
          </w:p>
        </w:tc>
      </w:tr>
    </w:tbl>
    <w:p w14:paraId="70B3AD6D" w14:textId="77777777" w:rsidR="00F27BB3" w:rsidRPr="00F27BB3" w:rsidRDefault="00000000" w:rsidP="00F27BB3">
      <w:pPr>
        <w:spacing w:before="60" w:after="80" w:line="276" w:lineRule="auto"/>
        <w:jc w:val="both"/>
        <w:rPr>
          <w:color w:val="1A1A1A"/>
        </w:rPr>
      </w:pPr>
      <w:r>
        <w:rPr>
          <w:color w:val="1A1A1A"/>
        </w:rPr>
        <w:t xml:space="preserve">En conditions normales, la mise à jour Windows 11 est automatiquement poussée par SCCM sur les postes éligibles du parc. La migration apparaît directement dans le Centre logiciel installé sur le poste de l'agent : il lui suffit alors de </w:t>
      </w:r>
      <w:r>
        <w:rPr>
          <w:color w:val="1A1A1A"/>
        </w:rPr>
        <w:lastRenderedPageBreak/>
        <w:t>cliquer sur l'application « Mise à niveau Windows 11 » et de lancer l'installation.</w:t>
      </w:r>
      <w:r w:rsidR="00F27BB3" w:rsidRPr="00F27BB3">
        <w:rPr>
          <w:rFonts w:ascii="Times New Roman" w:eastAsia="Times New Roman" w:hAnsi="Times New Roman" w:cs="Times New Roman"/>
          <w:sz w:val="24"/>
          <w:szCs w:val="24"/>
        </w:rPr>
        <w:t xml:space="preserve"> </w:t>
      </w:r>
      <w:r w:rsidR="00F27BB3" w:rsidRPr="00F27BB3">
        <w:rPr>
          <w:noProof/>
          <w:color w:val="1A1A1A"/>
        </w:rPr>
        <w:drawing>
          <wp:inline distT="0" distB="0" distL="0" distR="0" wp14:anchorId="4124C6C2" wp14:editId="2AC04005">
            <wp:extent cx="6036310" cy="3395345"/>
            <wp:effectExtent l="0" t="0" r="2540" b="0"/>
            <wp:docPr id="845370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6310" cy="3395345"/>
                    </a:xfrm>
                    <a:prstGeom prst="rect">
                      <a:avLst/>
                    </a:prstGeom>
                    <a:noFill/>
                    <a:ln>
                      <a:noFill/>
                    </a:ln>
                  </pic:spPr>
                </pic:pic>
              </a:graphicData>
            </a:graphic>
          </wp:inline>
        </w:drawing>
      </w:r>
    </w:p>
    <w:p w14:paraId="381111BB" w14:textId="77777777" w:rsidR="00AB57EB" w:rsidRDefault="00000000">
      <w:pPr>
        <w:spacing w:after="80" w:line="276" w:lineRule="auto"/>
        <w:jc w:val="both"/>
      </w:pPr>
      <w:r>
        <w:rPr>
          <w:color w:val="1A1A1A"/>
        </w:rPr>
        <w:t>Mon rôle se limite alors à valider que le déploiement s'est bien terminé et à clôturer le ticket associé.</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AB57EB" w14:paraId="78A728D2" w14:textId="77777777">
        <w:tc>
          <w:tcPr>
            <w:tcW w:w="1100" w:type="dxa"/>
            <w:shd w:val="clear" w:color="auto" w:fill="1F4E79"/>
            <w:tcMar>
              <w:top w:w="80" w:type="dxa"/>
              <w:left w:w="100" w:type="dxa"/>
              <w:bottom w:w="80" w:type="dxa"/>
              <w:right w:w="100" w:type="dxa"/>
            </w:tcMar>
            <w:vAlign w:val="center"/>
          </w:tcPr>
          <w:p w14:paraId="01E1F267" w14:textId="77777777" w:rsidR="00AB57EB" w:rsidRDefault="00000000">
            <w:pPr>
              <w:jc w:val="center"/>
            </w:pPr>
            <w:r>
              <w:rPr>
                <w:b/>
                <w:bCs/>
                <w:color w:val="FFFFFF"/>
                <w:sz w:val="22"/>
                <w:szCs w:val="22"/>
              </w:rPr>
              <w:t>N° 2</w:t>
            </w:r>
          </w:p>
        </w:tc>
        <w:tc>
          <w:tcPr>
            <w:tcW w:w="8260" w:type="dxa"/>
            <w:tcMar>
              <w:top w:w="80" w:type="dxa"/>
              <w:left w:w="200" w:type="dxa"/>
              <w:bottom w:w="80" w:type="dxa"/>
              <w:right w:w="120" w:type="dxa"/>
            </w:tcMar>
            <w:vAlign w:val="center"/>
          </w:tcPr>
          <w:p w14:paraId="541D0720" w14:textId="77777777" w:rsidR="00AB57EB" w:rsidRDefault="00000000">
            <w:r>
              <w:rPr>
                <w:b/>
                <w:bCs/>
                <w:color w:val="1F4E79"/>
                <w:sz w:val="24"/>
                <w:szCs w:val="24"/>
              </w:rPr>
              <w:t>Réparation du client SCCM</w:t>
            </w:r>
          </w:p>
        </w:tc>
      </w:tr>
    </w:tbl>
    <w:p w14:paraId="3FD5FB19" w14:textId="77777777" w:rsidR="00AB57EB" w:rsidRDefault="00000000">
      <w:pPr>
        <w:spacing w:before="60" w:after="80" w:line="276" w:lineRule="auto"/>
        <w:jc w:val="both"/>
      </w:pPr>
      <w:r>
        <w:rPr>
          <w:color w:val="1A1A1A"/>
        </w:rPr>
        <w:t xml:space="preserve">Si la mise à jour Windows 11 n'apparaît pas dans le Centre logiciel d'un poste, cela indique généralement un dysfonctionnement du client SCCM (problème de synchronisation, agent local en erreur). Dans ce cas, j'exécute le script interne </w:t>
      </w:r>
      <w:proofErr w:type="spellStart"/>
      <w:r>
        <w:rPr>
          <w:color w:val="1A1A1A"/>
        </w:rPr>
        <w:t>sccm_repair</w:t>
      </w:r>
      <w:proofErr w:type="spellEnd"/>
      <w:r>
        <w:rPr>
          <w:color w:val="1A1A1A"/>
        </w:rPr>
        <w:t>, disponible sur un serveur de la DSI. Ce script effectue une réparation du client SCCM sur le poste concerné, ce qui permet généralement à la migration Windows 11 de remonter dans le Centre logiciel après quelques minutes.</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AB57EB" w14:paraId="1667895B" w14:textId="77777777">
        <w:tc>
          <w:tcPr>
            <w:tcW w:w="1100" w:type="dxa"/>
            <w:shd w:val="clear" w:color="auto" w:fill="1F4E79"/>
            <w:tcMar>
              <w:top w:w="80" w:type="dxa"/>
              <w:left w:w="100" w:type="dxa"/>
              <w:bottom w:w="80" w:type="dxa"/>
              <w:right w:w="100" w:type="dxa"/>
            </w:tcMar>
            <w:vAlign w:val="center"/>
          </w:tcPr>
          <w:p w14:paraId="0F0EBCD6" w14:textId="77777777" w:rsidR="00AB57EB" w:rsidRDefault="00000000">
            <w:pPr>
              <w:jc w:val="center"/>
            </w:pPr>
            <w:r>
              <w:rPr>
                <w:b/>
                <w:bCs/>
                <w:color w:val="FFFFFF"/>
                <w:sz w:val="22"/>
                <w:szCs w:val="22"/>
              </w:rPr>
              <w:t>N° 3</w:t>
            </w:r>
          </w:p>
        </w:tc>
        <w:tc>
          <w:tcPr>
            <w:tcW w:w="8260" w:type="dxa"/>
            <w:tcMar>
              <w:top w:w="80" w:type="dxa"/>
              <w:left w:w="200" w:type="dxa"/>
              <w:bottom w:w="80" w:type="dxa"/>
              <w:right w:w="120" w:type="dxa"/>
            </w:tcMar>
            <w:vAlign w:val="center"/>
          </w:tcPr>
          <w:p w14:paraId="436F0D8C" w14:textId="77777777" w:rsidR="00AB57EB" w:rsidRDefault="00000000">
            <w:r>
              <w:rPr>
                <w:b/>
                <w:bCs/>
                <w:color w:val="1F4E79"/>
                <w:sz w:val="24"/>
                <w:szCs w:val="24"/>
              </w:rPr>
              <w:t>Migration manuelle via les sources réseau</w:t>
            </w:r>
          </w:p>
        </w:tc>
      </w:tr>
    </w:tbl>
    <w:p w14:paraId="1D0D2534" w14:textId="77777777" w:rsidR="00AB57EB" w:rsidRDefault="00000000">
      <w:pPr>
        <w:spacing w:before="60" w:after="80" w:line="276" w:lineRule="auto"/>
        <w:jc w:val="both"/>
      </w:pPr>
      <w:r>
        <w:rPr>
          <w:color w:val="1A1A1A"/>
        </w:rPr>
        <w:t xml:space="preserve">Si la migration n'apparaît toujours pas après l'exécution de </w:t>
      </w:r>
      <w:proofErr w:type="spellStart"/>
      <w:r>
        <w:rPr>
          <w:color w:val="1A1A1A"/>
        </w:rPr>
        <w:t>sccm_repair</w:t>
      </w:r>
      <w:proofErr w:type="spellEnd"/>
      <w:r>
        <w:rPr>
          <w:color w:val="1A1A1A"/>
        </w:rPr>
        <w:t>, je procède en dernier recours à une migration manuelle directement sur le poste à partir des sources d'installation Windows 11 stockées sur un serveur interne du Département.</w:t>
      </w:r>
    </w:p>
    <w:p w14:paraId="1C58F7C3" w14:textId="77777777" w:rsidR="00AB57EB" w:rsidRDefault="00000000">
      <w:pPr>
        <w:spacing w:before="140" w:after="60"/>
      </w:pPr>
      <w:r>
        <w:rPr>
          <w:b/>
          <w:bCs/>
          <w:color w:val="333333"/>
          <w:sz w:val="22"/>
          <w:szCs w:val="22"/>
        </w:rPr>
        <w:t>Localisation des sources d'installation</w:t>
      </w:r>
    </w:p>
    <w:p w14:paraId="1C25AC57" w14:textId="77777777" w:rsidR="00AB57EB" w:rsidRDefault="00000000">
      <w:pPr>
        <w:spacing w:after="80" w:line="276" w:lineRule="auto"/>
        <w:jc w:val="both"/>
      </w:pPr>
      <w:r>
        <w:rPr>
          <w:color w:val="1A1A1A"/>
        </w:rPr>
        <w:t>Les sources sont disponibles sur le partage réseau \\hdd0</w:t>
      </w:r>
      <w:r w:rsidR="00AE764C">
        <w:rPr>
          <w:color w:val="1A1A1A"/>
        </w:rPr>
        <w:t>X</w:t>
      </w:r>
      <w:r>
        <w:rPr>
          <w:color w:val="1A1A1A"/>
        </w:rPr>
        <w:t>-</w:t>
      </w:r>
      <w:r w:rsidR="00AE764C">
        <w:rPr>
          <w:color w:val="1A1A1A"/>
        </w:rPr>
        <w:t>XXX</w:t>
      </w:r>
      <w:r>
        <w:rPr>
          <w:color w:val="1A1A1A"/>
        </w:rPr>
        <w:t>\SourcesLogiciels. À l'intérieur de ce partage, on accède au sous-dossier Microsoft, qui regroupe l'ensemble des sources logicielles éditées par Microsoft</w:t>
      </w:r>
      <w:r w:rsidR="00AE764C">
        <w:rPr>
          <w:color w:val="1A1A1A"/>
        </w:rPr>
        <w:t xml:space="preserve"> mis à notre disposition</w:t>
      </w:r>
      <w:r>
        <w:rPr>
          <w:color w:val="1A1A1A"/>
        </w:rPr>
        <w:t>.</w:t>
      </w:r>
    </w:p>
    <w:p w14:paraId="6C51376E" w14:textId="77777777" w:rsidR="00AB57EB" w:rsidRDefault="00000000">
      <w:pPr>
        <w:spacing w:before="60" w:after="80"/>
        <w:jc w:val="center"/>
      </w:pPr>
      <w:r>
        <w:rPr>
          <w:noProof/>
        </w:rPr>
        <w:lastRenderedPageBreak/>
        <w:drawing>
          <wp:inline distT="0" distB="0" distL="0" distR="0" wp14:anchorId="1D8F1425" wp14:editId="15048B2A">
            <wp:extent cx="54864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667000"/>
                    </a:xfrm>
                    <a:prstGeom prst="rect">
                      <a:avLst/>
                    </a:prstGeom>
                  </pic:spPr>
                </pic:pic>
              </a:graphicData>
            </a:graphic>
          </wp:inline>
        </w:drawing>
      </w:r>
    </w:p>
    <w:p w14:paraId="02C86F26" w14:textId="77777777" w:rsidR="00AB57EB" w:rsidRDefault="00000000">
      <w:pPr>
        <w:spacing w:after="80" w:line="276" w:lineRule="auto"/>
        <w:jc w:val="both"/>
      </w:pPr>
      <w:r>
        <w:rPr>
          <w:color w:val="1A1A1A"/>
        </w:rPr>
        <w:t xml:space="preserve">Dans le dossier Microsoft, on identifie le dossier Windows11 </w:t>
      </w:r>
    </w:p>
    <w:p w14:paraId="5E5CC5C4" w14:textId="77777777" w:rsidR="00AB57EB" w:rsidRDefault="00000000">
      <w:pPr>
        <w:spacing w:before="60" w:after="80"/>
        <w:jc w:val="center"/>
      </w:pPr>
      <w:r>
        <w:rPr>
          <w:noProof/>
        </w:rPr>
        <w:drawing>
          <wp:inline distT="0" distB="0" distL="0" distR="0" wp14:anchorId="6A5B74D1" wp14:editId="519D565C">
            <wp:extent cx="5486400" cy="2533650"/>
            <wp:effectExtent l="0" t="0" r="0" b="0"/>
            <wp:docPr id="645293533" name="Picture 64529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533650"/>
                    </a:xfrm>
                    <a:prstGeom prst="rect">
                      <a:avLst/>
                    </a:prstGeom>
                  </pic:spPr>
                </pic:pic>
              </a:graphicData>
            </a:graphic>
          </wp:inline>
        </w:drawing>
      </w:r>
    </w:p>
    <w:p w14:paraId="281BDC8E" w14:textId="77777777" w:rsidR="00AB57EB" w:rsidRDefault="00000000">
      <w:pPr>
        <w:spacing w:after="80" w:line="276" w:lineRule="auto"/>
        <w:jc w:val="both"/>
      </w:pPr>
      <w:r>
        <w:rPr>
          <w:color w:val="1A1A1A"/>
        </w:rPr>
        <w:t>Dans le dossier Windows11, je sélectionne</w:t>
      </w:r>
      <w:r w:rsidR="00260FC5">
        <w:rPr>
          <w:color w:val="1A1A1A"/>
        </w:rPr>
        <w:t xml:space="preserve"> le fichier</w:t>
      </w:r>
    </w:p>
    <w:p w14:paraId="4FE8F0BA" w14:textId="77777777" w:rsidR="00AE764C" w:rsidRDefault="00AE764C">
      <w:pPr>
        <w:spacing w:before="60" w:after="80"/>
        <w:jc w:val="center"/>
        <w:rPr>
          <w:noProof/>
        </w:rPr>
      </w:pPr>
    </w:p>
    <w:p w14:paraId="3667F1CD" w14:textId="77777777" w:rsidR="00AB57EB" w:rsidRDefault="00000000">
      <w:pPr>
        <w:spacing w:before="60" w:after="80"/>
        <w:jc w:val="center"/>
      </w:pPr>
      <w:r>
        <w:rPr>
          <w:noProof/>
        </w:rPr>
        <w:drawing>
          <wp:inline distT="0" distB="0" distL="0" distR="0" wp14:anchorId="1C06D87F" wp14:editId="0AFDC068">
            <wp:extent cx="5486400" cy="2739390"/>
            <wp:effectExtent l="0" t="0" r="0" b="3810"/>
            <wp:docPr id="1463914362" name="Picture 146391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8408"/>
                    <a:stretch>
                      <a:fillRect/>
                    </a:stretch>
                  </pic:blipFill>
                  <pic:spPr bwMode="auto">
                    <a:xfrm>
                      <a:off x="0" y="0"/>
                      <a:ext cx="5486400" cy="2739390"/>
                    </a:xfrm>
                    <a:prstGeom prst="rect">
                      <a:avLst/>
                    </a:prstGeom>
                    <a:ln>
                      <a:noFill/>
                    </a:ln>
                    <a:extLst>
                      <a:ext uri="{53640926-AAD7-44D8-BBD7-CCE9431645EC}">
                        <a14:shadowObscured xmlns:a14="http://schemas.microsoft.com/office/drawing/2010/main"/>
                      </a:ext>
                    </a:extLst>
                  </pic:spPr>
                </pic:pic>
              </a:graphicData>
            </a:graphic>
          </wp:inline>
        </w:drawing>
      </w:r>
    </w:p>
    <w:p w14:paraId="4CB42455" w14:textId="77777777" w:rsidR="00AB57EB" w:rsidRDefault="00000000">
      <w:pPr>
        <w:spacing w:after="80" w:line="276" w:lineRule="auto"/>
        <w:jc w:val="both"/>
      </w:pPr>
      <w:r>
        <w:rPr>
          <w:color w:val="1A1A1A"/>
        </w:rPr>
        <w:t>À l'intérieur du dossier de version, on retrouve setup.exe</w:t>
      </w:r>
      <w:r w:rsidR="00F27BB3">
        <w:rPr>
          <w:color w:val="1A1A1A"/>
        </w:rPr>
        <w:t>, je copie tout le fichier sur le disque interne du PC puis</w:t>
      </w:r>
      <w:r>
        <w:rPr>
          <w:color w:val="1A1A1A"/>
        </w:rPr>
        <w:t xml:space="preserve"> Je lance setup.exe </w:t>
      </w:r>
      <w:r w:rsidR="00F27BB3">
        <w:rPr>
          <w:color w:val="1A1A1A"/>
        </w:rPr>
        <w:t xml:space="preserve">pour </w:t>
      </w:r>
      <w:r>
        <w:rPr>
          <w:color w:val="1A1A1A"/>
        </w:rPr>
        <w:t>démarrer la migration sur le poste.</w:t>
      </w:r>
    </w:p>
    <w:p w14:paraId="35E2A912" w14:textId="77777777" w:rsidR="00AE764C" w:rsidRDefault="00AE764C">
      <w:pPr>
        <w:spacing w:before="60" w:after="80"/>
        <w:jc w:val="center"/>
        <w:rPr>
          <w:noProof/>
        </w:rPr>
      </w:pPr>
    </w:p>
    <w:p w14:paraId="537CE95C" w14:textId="77777777" w:rsidR="00AB57EB" w:rsidRDefault="00000000">
      <w:pPr>
        <w:spacing w:before="60" w:after="80"/>
        <w:jc w:val="center"/>
      </w:pPr>
      <w:r>
        <w:rPr>
          <w:noProof/>
        </w:rPr>
        <w:drawing>
          <wp:inline distT="0" distB="0" distL="0" distR="0" wp14:anchorId="65587C45" wp14:editId="052AA7EA">
            <wp:extent cx="5486400" cy="2720340"/>
            <wp:effectExtent l="0" t="0" r="0" b="3810"/>
            <wp:docPr id="1267391243" name="Picture 126739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273"/>
                    <a:stretch>
                      <a:fillRect/>
                    </a:stretch>
                  </pic:blipFill>
                  <pic:spPr bwMode="auto">
                    <a:xfrm>
                      <a:off x="0" y="0"/>
                      <a:ext cx="5486400" cy="2720340"/>
                    </a:xfrm>
                    <a:prstGeom prst="rect">
                      <a:avLst/>
                    </a:prstGeom>
                    <a:ln>
                      <a:noFill/>
                    </a:ln>
                    <a:extLst>
                      <a:ext uri="{53640926-AAD7-44D8-BBD7-CCE9431645EC}">
                        <a14:shadowObscured xmlns:a14="http://schemas.microsoft.com/office/drawing/2010/main"/>
                      </a:ext>
                    </a:extLst>
                  </pic:spPr>
                </pic:pic>
              </a:graphicData>
            </a:graphic>
          </wp:inline>
        </w:drawing>
      </w:r>
    </w:p>
    <w:p w14:paraId="7A1155BF" w14:textId="77777777" w:rsidR="00AB57EB" w:rsidRDefault="00000000">
      <w:pPr>
        <w:pBdr>
          <w:bottom w:val="single" w:sz="12" w:space="4" w:color="1F4E79"/>
        </w:pBdr>
        <w:spacing w:before="280" w:after="140"/>
      </w:pPr>
      <w:r>
        <w:rPr>
          <w:b/>
          <w:bCs/>
          <w:color w:val="1F4E79"/>
          <w:sz w:val="28"/>
          <w:szCs w:val="28"/>
        </w:rPr>
        <w:t>6. ACCOMPAGNEMENT DE L'AGENT ET CLÔTURE</w:t>
      </w:r>
    </w:p>
    <w:p w14:paraId="06136CBD" w14:textId="77777777" w:rsidR="00AB57EB" w:rsidRDefault="00C54586">
      <w:pPr>
        <w:spacing w:after="120" w:line="276" w:lineRule="auto"/>
        <w:jc w:val="both"/>
      </w:pPr>
      <w:r>
        <w:rPr>
          <w:color w:val="1A1A1A"/>
        </w:rPr>
        <w:t xml:space="preserve">Je recommande aux agents de lancer l’installation avant la pause </w:t>
      </w:r>
      <w:r w:rsidR="00F27BB3">
        <w:rPr>
          <w:color w:val="1A1A1A"/>
        </w:rPr>
        <w:t>déjeuner</w:t>
      </w:r>
      <w:r>
        <w:rPr>
          <w:color w:val="1A1A1A"/>
        </w:rPr>
        <w:t xml:space="preserve"> puisque </w:t>
      </w:r>
      <w:proofErr w:type="spellStart"/>
      <w:proofErr w:type="gramStart"/>
      <w:r>
        <w:rPr>
          <w:color w:val="1A1A1A"/>
        </w:rPr>
        <w:t>ca</w:t>
      </w:r>
      <w:proofErr w:type="spellEnd"/>
      <w:proofErr w:type="gramEnd"/>
      <w:r>
        <w:rPr>
          <w:color w:val="1A1A1A"/>
        </w:rPr>
        <w:t xml:space="preserve"> dure approximativement 1 heure.</w:t>
      </w:r>
    </w:p>
    <w:p w14:paraId="323F34F3" w14:textId="77777777" w:rsidR="00AB57EB" w:rsidRDefault="00000000">
      <w:pPr>
        <w:spacing w:after="80" w:line="276" w:lineRule="auto"/>
        <w:jc w:val="both"/>
      </w:pPr>
      <w:r>
        <w:rPr>
          <w:color w:val="1A1A1A"/>
        </w:rPr>
        <w:t xml:space="preserve">Une fois la migration terminée, je vérifie avec l'agent (en sa présence </w:t>
      </w:r>
      <w:r w:rsidR="00C54586">
        <w:rPr>
          <w:color w:val="1A1A1A"/>
        </w:rPr>
        <w:t xml:space="preserve">ou ils me recontactent via </w:t>
      </w:r>
      <w:proofErr w:type="gramStart"/>
      <w:r w:rsidR="00C54586">
        <w:rPr>
          <w:color w:val="1A1A1A"/>
        </w:rPr>
        <w:t>teams</w:t>
      </w:r>
      <w:proofErr w:type="gramEnd"/>
      <w:r w:rsidR="00C54586">
        <w:rPr>
          <w:color w:val="1A1A1A"/>
        </w:rPr>
        <w:t xml:space="preserve"> afin que je puisse venir</w:t>
      </w:r>
      <w:r>
        <w:rPr>
          <w:color w:val="1A1A1A"/>
        </w:rPr>
        <w:t>) que :</w:t>
      </w:r>
    </w:p>
    <w:p w14:paraId="3DDF2126" w14:textId="77777777" w:rsidR="00AB57EB" w:rsidRDefault="00000000" w:rsidP="008249DA">
      <w:pPr>
        <w:pStyle w:val="ListParagraph"/>
        <w:numPr>
          <w:ilvl w:val="0"/>
          <w:numId w:val="5"/>
        </w:numPr>
        <w:spacing w:after="40" w:line="264" w:lineRule="auto"/>
      </w:pPr>
      <w:r>
        <w:rPr>
          <w:color w:val="1A1A1A"/>
        </w:rPr>
        <w:t>Le poste démarre correctement sous Windows 11.</w:t>
      </w:r>
    </w:p>
    <w:p w14:paraId="34078499" w14:textId="77777777" w:rsidR="00AB57EB" w:rsidRDefault="00000000" w:rsidP="008249DA">
      <w:pPr>
        <w:pStyle w:val="ListParagraph"/>
        <w:numPr>
          <w:ilvl w:val="0"/>
          <w:numId w:val="5"/>
        </w:numPr>
        <w:spacing w:after="40" w:line="264" w:lineRule="auto"/>
      </w:pPr>
      <w:r>
        <w:rPr>
          <w:color w:val="1A1A1A"/>
        </w:rPr>
        <w:t>L'agent peut se connecter avec ses identifiants habituels.</w:t>
      </w:r>
    </w:p>
    <w:p w14:paraId="1F76BA99" w14:textId="77777777" w:rsidR="00AB57EB" w:rsidRDefault="00C54586" w:rsidP="008249DA">
      <w:pPr>
        <w:pStyle w:val="ListParagraph"/>
        <w:numPr>
          <w:ilvl w:val="0"/>
          <w:numId w:val="5"/>
        </w:numPr>
        <w:spacing w:after="40" w:line="264" w:lineRule="auto"/>
      </w:pPr>
      <w:r>
        <w:rPr>
          <w:color w:val="1A1A1A"/>
        </w:rPr>
        <w:t>Son bureau est comme d’habitude</w:t>
      </w:r>
    </w:p>
    <w:p w14:paraId="28E15155" w14:textId="7314015C" w:rsidR="00FA1285" w:rsidRDefault="00000000" w:rsidP="008249DA">
      <w:pPr>
        <w:pStyle w:val="ListParagraph"/>
        <w:numPr>
          <w:ilvl w:val="0"/>
          <w:numId w:val="5"/>
        </w:numPr>
        <w:spacing w:after="120"/>
        <w:jc w:val="both"/>
      </w:pPr>
      <w:r w:rsidRPr="008249DA">
        <w:rPr>
          <w:sz w:val="22"/>
        </w:rPr>
        <w:t>Ses applications métier (messagerie Outlook, suite Office, applications spécifiques DSI) sont accessibles et fonctionnelles.</w:t>
      </w:r>
    </w:p>
    <w:p w14:paraId="66F9E3DF" w14:textId="08A08027" w:rsidR="00FA1285" w:rsidRDefault="00000000" w:rsidP="008249DA">
      <w:pPr>
        <w:pStyle w:val="ListParagraph"/>
        <w:numPr>
          <w:ilvl w:val="0"/>
          <w:numId w:val="5"/>
        </w:numPr>
        <w:spacing w:after="120"/>
        <w:jc w:val="both"/>
      </w:pPr>
      <w:r w:rsidRPr="008249DA">
        <w:rPr>
          <w:sz w:val="22"/>
        </w:rPr>
        <w:t>Sa connexion réseau (filaire et Wi-Fi entreprise) est opérationnelle.</w:t>
      </w:r>
    </w:p>
    <w:p w14:paraId="1BA7D27B" w14:textId="260AF430" w:rsidR="00FA1285" w:rsidRDefault="00000000" w:rsidP="008249DA">
      <w:pPr>
        <w:pStyle w:val="ListParagraph"/>
        <w:numPr>
          <w:ilvl w:val="0"/>
          <w:numId w:val="5"/>
        </w:numPr>
        <w:spacing w:after="120"/>
        <w:jc w:val="both"/>
      </w:pPr>
      <w:r w:rsidRPr="008249DA">
        <w:rPr>
          <w:sz w:val="22"/>
        </w:rPr>
        <w:t>Son imprimante reste correctement fonctionnelle.</w:t>
      </w:r>
    </w:p>
    <w:p w14:paraId="104284D0" w14:textId="2E6F00FF" w:rsidR="00AB57EB" w:rsidRDefault="00000000" w:rsidP="008249DA">
      <w:pPr>
        <w:pStyle w:val="ListParagraph"/>
        <w:numPr>
          <w:ilvl w:val="0"/>
          <w:numId w:val="5"/>
        </w:numPr>
        <w:spacing w:before="100" w:after="80" w:line="276" w:lineRule="auto"/>
        <w:jc w:val="both"/>
      </w:pPr>
      <w:r w:rsidRPr="008249DA">
        <w:rPr>
          <w:color w:val="1A1A1A"/>
        </w:rPr>
        <w:t>Une fois ces vérifications effectuées, le ticket EasyVista est clôturé</w:t>
      </w:r>
      <w:r w:rsidR="008249DA">
        <w:rPr>
          <w:color w:val="1A1A1A"/>
        </w:rPr>
        <w:t xml:space="preserve">(voir la doc ticket </w:t>
      </w:r>
      <w:proofErr w:type="spellStart"/>
      <w:r w:rsidR="008249DA">
        <w:rPr>
          <w:color w:val="1A1A1A"/>
        </w:rPr>
        <w:t>preparation</w:t>
      </w:r>
      <w:proofErr w:type="spellEnd"/>
      <w:r w:rsidR="008249DA">
        <w:rPr>
          <w:color w:val="1A1A1A"/>
        </w:rPr>
        <w:t xml:space="preserve"> PC)</w:t>
      </w:r>
      <w:r w:rsidRPr="008249DA">
        <w:rPr>
          <w:color w:val="1A1A1A"/>
        </w:rPr>
        <w:t>.</w:t>
      </w:r>
    </w:p>
    <w:p w14:paraId="62EDE804" w14:textId="77777777" w:rsidR="00AB57EB" w:rsidRDefault="00000000">
      <w:pPr>
        <w:pBdr>
          <w:bottom w:val="single" w:sz="12" w:space="4" w:color="1F4E79"/>
        </w:pBdr>
        <w:spacing w:before="280" w:after="140"/>
      </w:pPr>
      <w:r>
        <w:rPr>
          <w:b/>
          <w:bCs/>
          <w:color w:val="1F4E79"/>
          <w:sz w:val="28"/>
          <w:szCs w:val="28"/>
        </w:rPr>
        <w:t xml:space="preserve">7. BILAN </w:t>
      </w:r>
    </w:p>
    <w:p w14:paraId="5BEAD418" w14:textId="77777777" w:rsidR="00AB57EB" w:rsidRDefault="00000000">
      <w:pPr>
        <w:spacing w:before="140" w:after="60"/>
      </w:pPr>
      <w:r>
        <w:rPr>
          <w:b/>
          <w:bCs/>
          <w:color w:val="333333"/>
          <w:sz w:val="22"/>
          <w:szCs w:val="22"/>
        </w:rPr>
        <w:t>Résultat obtenu</w:t>
      </w:r>
    </w:p>
    <w:p w14:paraId="5AD7731C" w14:textId="77777777" w:rsidR="00AB57EB" w:rsidRDefault="00000000">
      <w:pPr>
        <w:spacing w:after="120" w:line="276" w:lineRule="auto"/>
        <w:jc w:val="both"/>
      </w:pPr>
      <w:r>
        <w:rPr>
          <w:color w:val="1A1A1A"/>
        </w:rPr>
        <w:t xml:space="preserve">L'ensemble du parc concerné a été migré vers Windows 11 dans le délai imparti d'environ deux mois, avant la date butoir de mars. La méthode hiérarchique a permis de traiter la majorité des postes via le canal automatisé du Centre logiciel, et de réserver l'intervention manuelle aux quelques cas où SCCM ne fonctionnait pas correctement. </w:t>
      </w:r>
    </w:p>
    <w:p w14:paraId="1667E393" w14:textId="77777777" w:rsidR="00AB57EB" w:rsidRDefault="00000000">
      <w:pPr>
        <w:spacing w:before="140" w:after="60"/>
      </w:pPr>
      <w:r>
        <w:rPr>
          <w:b/>
          <w:bCs/>
          <w:color w:val="333333"/>
          <w:sz w:val="22"/>
          <w:szCs w:val="22"/>
        </w:rPr>
        <w:t>Difficultés rencontrées</w:t>
      </w:r>
    </w:p>
    <w:p w14:paraId="2A922F2F" w14:textId="77777777" w:rsidR="00AB57EB" w:rsidRDefault="00000000">
      <w:pPr>
        <w:pStyle w:val="ListParagraph"/>
        <w:numPr>
          <w:ilvl w:val="0"/>
          <w:numId w:val="2"/>
        </w:numPr>
        <w:spacing w:after="40" w:line="264" w:lineRule="auto"/>
      </w:pPr>
      <w:r>
        <w:rPr>
          <w:color w:val="1A1A1A"/>
        </w:rPr>
        <w:t>Certains postes ne disposaient pas des 64 Go d'espace disque requis : nécessité d'effectuer un nettoyage préalable avec l'agent.</w:t>
      </w:r>
    </w:p>
    <w:p w14:paraId="4528DB11" w14:textId="77777777" w:rsidR="00AB57EB" w:rsidRDefault="00000000">
      <w:pPr>
        <w:pStyle w:val="ListParagraph"/>
        <w:numPr>
          <w:ilvl w:val="0"/>
          <w:numId w:val="2"/>
        </w:numPr>
        <w:spacing w:after="40" w:line="264" w:lineRule="auto"/>
      </w:pPr>
      <w:r>
        <w:rPr>
          <w:color w:val="1A1A1A"/>
        </w:rPr>
        <w:t xml:space="preserve">Le </w:t>
      </w:r>
      <w:r w:rsidR="00C54586">
        <w:rPr>
          <w:color w:val="1A1A1A"/>
        </w:rPr>
        <w:t>W11</w:t>
      </w:r>
      <w:r>
        <w:rPr>
          <w:color w:val="1A1A1A"/>
        </w:rPr>
        <w:t xml:space="preserve"> pouvait </w:t>
      </w:r>
      <w:r w:rsidR="00C54586">
        <w:rPr>
          <w:color w:val="1A1A1A"/>
        </w:rPr>
        <w:t>ne pas remonter</w:t>
      </w:r>
      <w:r>
        <w:rPr>
          <w:color w:val="1A1A1A"/>
        </w:rPr>
        <w:t xml:space="preserve"> sur quelques postes, nécessitant l'exécution du script </w:t>
      </w:r>
      <w:proofErr w:type="spellStart"/>
      <w:r>
        <w:rPr>
          <w:color w:val="1A1A1A"/>
        </w:rPr>
        <w:t>sccm_repair</w:t>
      </w:r>
      <w:proofErr w:type="spellEnd"/>
      <w:r>
        <w:rPr>
          <w:color w:val="1A1A1A"/>
        </w:rPr>
        <w:t xml:space="preserve"> avant que la migration ne remonte.</w:t>
      </w:r>
    </w:p>
    <w:p w14:paraId="4B68EF78" w14:textId="77777777" w:rsidR="00AB57EB" w:rsidRDefault="00C54586">
      <w:pPr>
        <w:pStyle w:val="ListParagraph"/>
        <w:numPr>
          <w:ilvl w:val="0"/>
          <w:numId w:val="2"/>
        </w:numPr>
        <w:spacing w:after="40" w:line="264" w:lineRule="auto"/>
      </w:pPr>
      <w:r>
        <w:rPr>
          <w:color w:val="1A1A1A"/>
        </w:rPr>
        <w:t>Trouver le bon créneau avec les agents sans entraver leur travail</w:t>
      </w:r>
    </w:p>
    <w:p w14:paraId="13B7B5B3" w14:textId="77777777" w:rsidR="00FA1285" w:rsidRDefault="00000000">
      <w:pPr>
        <w:spacing w:before="160" w:after="40"/>
      </w:pPr>
      <w:r>
        <w:rPr>
          <w:b/>
          <w:color w:val="333333"/>
          <w:sz w:val="24"/>
        </w:rPr>
        <w:t>Apports personnels</w:t>
      </w:r>
    </w:p>
    <w:p w14:paraId="09C2451C" w14:textId="77777777" w:rsidR="00FA1285" w:rsidRDefault="00000000">
      <w:pPr>
        <w:spacing w:after="120"/>
        <w:ind w:left="360"/>
        <w:jc w:val="both"/>
      </w:pPr>
      <w:r>
        <w:rPr>
          <w:sz w:val="22"/>
        </w:rPr>
        <w:t>•   Compréhension du fonctionnement d'une solution de gestion de parc centralisée (SCCM) et de sa logique de déploiement à grande échelle.</w:t>
      </w:r>
    </w:p>
    <w:p w14:paraId="7CE1F5AC" w14:textId="77777777" w:rsidR="00FA1285" w:rsidRDefault="00000000">
      <w:pPr>
        <w:spacing w:after="120"/>
        <w:ind w:left="360"/>
        <w:jc w:val="both"/>
      </w:pPr>
      <w:r>
        <w:rPr>
          <w:sz w:val="22"/>
        </w:rPr>
        <w:lastRenderedPageBreak/>
        <w:t>•   Maîtrise d'une démarche de résolution hiérarchisée : tester d'abord la solution la plus automatisée, puis escalader vers une intervention plus manuelle si nécessaire.</w:t>
      </w:r>
    </w:p>
    <w:p w14:paraId="039AB1A9" w14:textId="77777777" w:rsidR="00FA1285" w:rsidRDefault="00000000">
      <w:pPr>
        <w:spacing w:after="120"/>
        <w:ind w:left="360"/>
        <w:jc w:val="both"/>
      </w:pPr>
      <w:r>
        <w:rPr>
          <w:sz w:val="22"/>
        </w:rPr>
        <w:t>•   Découverte concrète de la mise à niveau sur place (in-place upgrade) à partir de sources réseau d'entreprise et compréhension des contraintes matérielles associées (TPM, espace disque).</w:t>
      </w:r>
    </w:p>
    <w:p w14:paraId="609E62B4" w14:textId="77777777" w:rsidR="00FA1285" w:rsidRDefault="00000000">
      <w:pPr>
        <w:spacing w:after="120"/>
        <w:ind w:left="360"/>
        <w:jc w:val="both"/>
      </w:pPr>
      <w:r>
        <w:rPr>
          <w:sz w:val="22"/>
        </w:rPr>
        <w:t>•   Sensibilisation à la dimension projet d'une migration de parc : planification dans le temps, suivi de l'avancement, identification des cas particuliers, accompagnement utilisateur.</w:t>
      </w:r>
    </w:p>
    <w:p w14:paraId="373D8A14" w14:textId="77777777" w:rsidR="00FA1285" w:rsidRDefault="00000000">
      <w:pPr>
        <w:spacing w:after="120"/>
        <w:ind w:left="360"/>
        <w:jc w:val="both"/>
      </w:pPr>
      <w:r>
        <w:rPr>
          <w:sz w:val="22"/>
        </w:rPr>
        <w:t>•   Renforcement de la posture d'accompagnement : conseiller l'agent sur le moment opportun pour lancer une opération longue afin de minimiser l'impact sur son activité quotidienne.</w:t>
      </w:r>
    </w:p>
    <w:p w14:paraId="4EE6F050" w14:textId="77777777" w:rsidR="00AB57EB" w:rsidRDefault="00000000">
      <w:pPr>
        <w:spacing w:before="200"/>
        <w:jc w:val="right"/>
      </w:pPr>
      <w:r>
        <w:rPr>
          <w:i/>
          <w:iCs/>
          <w:color w:val="A6A6A6"/>
          <w:sz w:val="18"/>
          <w:szCs w:val="18"/>
        </w:rPr>
        <w:t>— Fin du document —</w:t>
      </w:r>
    </w:p>
    <w:sectPr w:rsidR="00AB57EB">
      <w:headerReference w:type="default" r:id="rId12"/>
      <w:footerReference w:type="default" r:id="rId13"/>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3EDCF" w14:textId="77777777" w:rsidR="00E44A14" w:rsidRDefault="00E44A14">
      <w:r>
        <w:separator/>
      </w:r>
    </w:p>
  </w:endnote>
  <w:endnote w:type="continuationSeparator" w:id="0">
    <w:p w14:paraId="6CC63DCB" w14:textId="77777777" w:rsidR="00E44A14" w:rsidRDefault="00E44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E137" w14:textId="77777777" w:rsidR="00AB57EB" w:rsidRDefault="00000000">
    <w:pPr>
      <w:pBdr>
        <w:top w:val="single" w:sz="4" w:space="4" w:color="2E75B6"/>
      </w:pBdr>
      <w:tabs>
        <w:tab w:val="center" w:pos="4500"/>
        <w:tab w:val="right" w:pos="9200"/>
      </w:tabs>
    </w:pPr>
    <w:r>
      <w:rPr>
        <w:color w:val="595959"/>
        <w:sz w:val="16"/>
        <w:szCs w:val="16"/>
      </w:rPr>
      <w:t>BTS SIO SISR — Épreuve E5</w:t>
    </w:r>
    <w:r>
      <w:rPr>
        <w:sz w:val="16"/>
        <w:szCs w:val="16"/>
      </w:rPr>
      <w:tab/>
    </w:r>
    <w:r>
      <w:rPr>
        <w:i/>
        <w:iCs/>
        <w:color w:val="595959"/>
        <w:sz w:val="16"/>
        <w:szCs w:val="16"/>
      </w:rPr>
      <w:t>Conseil Départemental des Yvelines</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60FC5">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260FC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416D0" w14:textId="77777777" w:rsidR="00E44A14" w:rsidRDefault="00E44A14">
      <w:r>
        <w:separator/>
      </w:r>
    </w:p>
  </w:footnote>
  <w:footnote w:type="continuationSeparator" w:id="0">
    <w:p w14:paraId="4E89F9A8" w14:textId="77777777" w:rsidR="00E44A14" w:rsidRDefault="00E44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D907" w14:textId="77777777" w:rsidR="00AB57EB" w:rsidRDefault="00000000">
    <w:pPr>
      <w:pBdr>
        <w:bottom w:val="single" w:sz="4" w:space="4" w:color="2E75B6"/>
      </w:pBdr>
      <w:jc w:val="right"/>
    </w:pPr>
    <w:r>
      <w:rPr>
        <w:i/>
        <w:iCs/>
        <w:color w:val="595959"/>
        <w:sz w:val="16"/>
        <w:szCs w:val="16"/>
      </w:rPr>
      <w:t>Migration vers Windows 11 — BAJOU Sofian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BFE"/>
    <w:multiLevelType w:val="hybridMultilevel"/>
    <w:tmpl w:val="901266F2"/>
    <w:lvl w:ilvl="0" w:tplc="F378F328">
      <w:start w:val="1"/>
      <w:numFmt w:val="bullet"/>
      <w:lvlText w:val="●"/>
      <w:lvlJc w:val="left"/>
      <w:pPr>
        <w:ind w:left="720" w:hanging="360"/>
      </w:pPr>
    </w:lvl>
    <w:lvl w:ilvl="1" w:tplc="C9C29AA0">
      <w:start w:val="1"/>
      <w:numFmt w:val="bullet"/>
      <w:lvlText w:val="○"/>
      <w:lvlJc w:val="left"/>
      <w:pPr>
        <w:ind w:left="1440" w:hanging="360"/>
      </w:pPr>
    </w:lvl>
    <w:lvl w:ilvl="2" w:tplc="6952DE40">
      <w:start w:val="1"/>
      <w:numFmt w:val="bullet"/>
      <w:lvlText w:val="■"/>
      <w:lvlJc w:val="left"/>
      <w:pPr>
        <w:ind w:left="2160" w:hanging="360"/>
      </w:pPr>
    </w:lvl>
    <w:lvl w:ilvl="3" w:tplc="B7A249FA">
      <w:start w:val="1"/>
      <w:numFmt w:val="bullet"/>
      <w:lvlText w:val="●"/>
      <w:lvlJc w:val="left"/>
      <w:pPr>
        <w:ind w:left="2880" w:hanging="360"/>
      </w:pPr>
    </w:lvl>
    <w:lvl w:ilvl="4" w:tplc="53F41D7E">
      <w:start w:val="1"/>
      <w:numFmt w:val="bullet"/>
      <w:lvlText w:val="○"/>
      <w:lvlJc w:val="left"/>
      <w:pPr>
        <w:ind w:left="3600" w:hanging="360"/>
      </w:pPr>
    </w:lvl>
    <w:lvl w:ilvl="5" w:tplc="D8B8CCCE">
      <w:start w:val="1"/>
      <w:numFmt w:val="bullet"/>
      <w:lvlText w:val="■"/>
      <w:lvlJc w:val="left"/>
      <w:pPr>
        <w:ind w:left="4320" w:hanging="360"/>
      </w:pPr>
    </w:lvl>
    <w:lvl w:ilvl="6" w:tplc="9E6AC248">
      <w:start w:val="1"/>
      <w:numFmt w:val="bullet"/>
      <w:lvlText w:val="●"/>
      <w:lvlJc w:val="left"/>
      <w:pPr>
        <w:ind w:left="5040" w:hanging="360"/>
      </w:pPr>
    </w:lvl>
    <w:lvl w:ilvl="7" w:tplc="FE0E17B8">
      <w:start w:val="1"/>
      <w:numFmt w:val="bullet"/>
      <w:lvlText w:val="●"/>
      <w:lvlJc w:val="left"/>
      <w:pPr>
        <w:ind w:left="5760" w:hanging="360"/>
      </w:pPr>
    </w:lvl>
    <w:lvl w:ilvl="8" w:tplc="67E05B22">
      <w:start w:val="1"/>
      <w:numFmt w:val="bullet"/>
      <w:lvlText w:val="●"/>
      <w:lvlJc w:val="left"/>
      <w:pPr>
        <w:ind w:left="6480" w:hanging="360"/>
      </w:pPr>
    </w:lvl>
  </w:abstractNum>
  <w:abstractNum w:abstractNumId="1" w15:restartNumberingAfterBreak="0">
    <w:nsid w:val="05995E7D"/>
    <w:multiLevelType w:val="hybridMultilevel"/>
    <w:tmpl w:val="F1BEAC64"/>
    <w:lvl w:ilvl="0" w:tplc="68620766">
      <w:start w:val="1"/>
      <w:numFmt w:val="bullet"/>
      <w:lvlText w:val="•"/>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FA456E"/>
    <w:multiLevelType w:val="hybridMultilevel"/>
    <w:tmpl w:val="88164A94"/>
    <w:lvl w:ilvl="0" w:tplc="68620766">
      <w:start w:val="1"/>
      <w:numFmt w:val="bullet"/>
      <w:lvlText w:val="•"/>
      <w:lvlJc w:val="left"/>
      <w:pPr>
        <w:ind w:left="500" w:hanging="260"/>
      </w:pPr>
    </w:lvl>
    <w:lvl w:ilvl="1" w:tplc="3BDA742C">
      <w:numFmt w:val="decimal"/>
      <w:lvlText w:val=""/>
      <w:lvlJc w:val="left"/>
    </w:lvl>
    <w:lvl w:ilvl="2" w:tplc="3EC4676E">
      <w:numFmt w:val="decimal"/>
      <w:lvlText w:val=""/>
      <w:lvlJc w:val="left"/>
    </w:lvl>
    <w:lvl w:ilvl="3" w:tplc="7D70B250">
      <w:numFmt w:val="decimal"/>
      <w:lvlText w:val=""/>
      <w:lvlJc w:val="left"/>
    </w:lvl>
    <w:lvl w:ilvl="4" w:tplc="1B2A6932">
      <w:numFmt w:val="decimal"/>
      <w:lvlText w:val=""/>
      <w:lvlJc w:val="left"/>
    </w:lvl>
    <w:lvl w:ilvl="5" w:tplc="2A382772">
      <w:numFmt w:val="decimal"/>
      <w:lvlText w:val=""/>
      <w:lvlJc w:val="left"/>
    </w:lvl>
    <w:lvl w:ilvl="6" w:tplc="96222A2A">
      <w:numFmt w:val="decimal"/>
      <w:lvlText w:val=""/>
      <w:lvlJc w:val="left"/>
    </w:lvl>
    <w:lvl w:ilvl="7" w:tplc="E22C4682">
      <w:numFmt w:val="decimal"/>
      <w:lvlText w:val=""/>
      <w:lvlJc w:val="left"/>
    </w:lvl>
    <w:lvl w:ilvl="8" w:tplc="6562E5E8">
      <w:numFmt w:val="decimal"/>
      <w:lvlText w:val=""/>
      <w:lvlJc w:val="left"/>
    </w:lvl>
  </w:abstractNum>
  <w:abstractNum w:abstractNumId="3" w15:restartNumberingAfterBreak="0">
    <w:nsid w:val="58AD28F9"/>
    <w:multiLevelType w:val="hybridMultilevel"/>
    <w:tmpl w:val="2AA6A5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99056930">
    <w:abstractNumId w:val="0"/>
    <w:lvlOverride w:ilvl="0">
      <w:startOverride w:val="1"/>
    </w:lvlOverride>
  </w:num>
  <w:num w:numId="2" w16cid:durableId="1298796332">
    <w:abstractNumId w:val="2"/>
    <w:lvlOverride w:ilvl="0">
      <w:startOverride w:val="1"/>
    </w:lvlOverride>
  </w:num>
  <w:num w:numId="3" w16cid:durableId="147140823">
    <w:abstractNumId w:val="3"/>
  </w:num>
  <w:num w:numId="4" w16cid:durableId="17852677">
    <w:abstractNumId w:val="2"/>
  </w:num>
  <w:num w:numId="5" w16cid:durableId="831718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7EB"/>
    <w:rsid w:val="000E72E5"/>
    <w:rsid w:val="000F6B41"/>
    <w:rsid w:val="00260FC5"/>
    <w:rsid w:val="00733B5F"/>
    <w:rsid w:val="008249DA"/>
    <w:rsid w:val="00AB57EB"/>
    <w:rsid w:val="00AE764C"/>
    <w:rsid w:val="00C54586"/>
    <w:rsid w:val="00D045E4"/>
    <w:rsid w:val="00D33D30"/>
    <w:rsid w:val="00E44A14"/>
    <w:rsid w:val="00EE2156"/>
    <w:rsid w:val="00F27BB3"/>
    <w:rsid w:val="00FA12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29FC"/>
  <w15:docId w15:val="{79118601-A0C4-4FCC-B8EC-96061CC4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27B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1654</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Documentation - Migration des postes vers Windows 11</vt:lpstr>
    </vt:vector>
  </TitlesOfParts>
  <Company/>
  <LinksUpToDate>false</LinksUpToDate>
  <CharactersWithSpaces>10733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 Migration des postes vers Windows 11</dc:title>
  <dc:creator>BAJOU Sofian</dc:creator>
  <dc:description>Dossier E5 - BTS SIO SISR</dc:description>
  <cp:lastModifiedBy>BAJOU Sofian</cp:lastModifiedBy>
  <cp:revision>2</cp:revision>
  <dcterms:created xsi:type="dcterms:W3CDTF">2026-04-26T16:58:00Z</dcterms:created>
  <dcterms:modified xsi:type="dcterms:W3CDTF">2026-04-26T16:58:00Z</dcterms:modified>
</cp:coreProperties>
</file>