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120" w:before="0"/>
        <w:jc w:val="center"/>
      </w:pPr>
      <w:r>
        <w:rPr>
          <w:rFonts w:ascii="Arial" w:cs="Arial" w:eastAsia="Arial" w:hAnsi="Arial"/>
          <w:b/>
          <w:bCs/>
          <w:color w:val="C00000"/>
          <w:sz w:val="20"/>
          <w:szCs w:val="20"/>
        </w:rPr>
        <w:t xml:space="preserve">CONFIDENTIEL</w:t>
      </w:r>
    </w:p>
    <w:p>
      <w:pPr>
        <w:pBdr>
          <w:bottom w:val="thick" w:color="1F4E79" w:sz="12"/>
        </w:pBdr>
        <w:spacing w:after="240" w:before="0"/>
        <w:jc w:val="center"/>
      </w:pPr>
    </w:p>
    <w:p>
      <w:pPr>
        <w:spacing w:after="0" w:before="0"/>
      </w:pPr>
      <w:r>
        <w:rPr>
          <w:sz w:val="22"/>
          <w:szCs w:val="22"/>
        </w:rPr>
        <w:t xml:space="preserve"/>
      </w:r>
    </w:p>
    <w:p>
      <w:pPr>
        <w:spacing w:after="240" w:before="0"/>
        <w:jc w:val="center"/>
      </w:pPr>
      <w:r>
        <w:rPr>
          <w:rFonts w:ascii="Arial" w:cs="Arial" w:eastAsia="Arial" w:hAnsi="Arial"/>
          <w:b/>
          <w:bCs/>
          <w:color w:val="1F4E79"/>
          <w:sz w:val="52"/>
          <w:szCs w:val="52"/>
        </w:rPr>
        <w:t xml:space="preserve">ANALYSE D'IMPACT RELATIVE À</w:t>
      </w:r>
    </w:p>
    <w:p>
      <w:pPr>
        <w:spacing w:after="480" w:before="0"/>
        <w:jc w:val="center"/>
      </w:pPr>
      <w:r>
        <w:rPr>
          <w:rFonts w:ascii="Arial" w:cs="Arial" w:eastAsia="Arial" w:hAnsi="Arial"/>
          <w:b/>
          <w:bCs/>
          <w:color w:val="1F4E79"/>
          <w:sz w:val="52"/>
          <w:szCs w:val="52"/>
        </w:rPr>
        <w:t xml:space="preserve">LA PROTECTION DES DONNÉES (AIPD)</w:t>
      </w:r>
    </w:p>
    <w:p>
      <w:pPr>
        <w:spacing w:after="120" w:before="0"/>
        <w:jc w:val="center"/>
      </w:pPr>
      <w:r>
        <w:rPr>
          <w:rFonts w:ascii="Arial" w:cs="Arial" w:eastAsia="Arial" w:hAnsi="Arial"/>
          <w:b/>
          <w:bCs/>
          <w:color w:val="2E75B6"/>
          <w:sz w:val="34"/>
          <w:szCs w:val="34"/>
        </w:rPr>
        <w:t xml:space="preserve">Gestion des accès et connexions aux outils d’Intelligence Artificielle</w:t>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sz w:val="22"/>
                <w:szCs w:val="22"/>
              </w:rPr>
              <w:t xml:space="preserve">Référence :</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PIA-IA-2026-001</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sz w:val="22"/>
                <w:szCs w:val="22"/>
              </w:rPr>
              <w:t xml:space="preserve">Version :</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1.0 — Draft</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sz w:val="22"/>
                <w:szCs w:val="22"/>
              </w:rPr>
              <w:t xml:space="preserve">Date :</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Mars 2026</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sz w:val="22"/>
                <w:szCs w:val="22"/>
              </w:rPr>
              <w:t xml:space="preserve">Auteur :</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7F7F7F"/>
                <w:sz w:val="22"/>
                <w:szCs w:val="22"/>
              </w:rPr>
              <w:t xml:space="preserve">[Nom du DPO / Auteur]</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sz w:val="22"/>
                <w:szCs w:val="22"/>
              </w:rPr>
              <w:t xml:space="preserve">Organisation :</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7F7F7F"/>
                <w:sz w:val="22"/>
                <w:szCs w:val="22"/>
              </w:rPr>
              <w:t xml:space="preserve">[Nom de l’organisation]</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sz w:val="22"/>
                <w:szCs w:val="22"/>
              </w:rPr>
              <w:t xml:space="preserve">Statut :</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C00000"/>
                <w:sz w:val="22"/>
                <w:szCs w:val="22"/>
              </w:rPr>
              <w:t xml:space="preserve">DRAFT — En attente de validation</w:t>
            </w:r>
          </w:p>
        </w:tc>
      </w:tr>
    </w:tbl>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pBdr>
          <w:top w:val="single" w:color="1F4E79" w:sz="6"/>
        </w:pBdr>
        <w:spacing w:after="60" w:before="120"/>
        <w:jc w:val="center"/>
      </w:pPr>
      <w:r>
        <w:rPr>
          <w:rFonts w:ascii="Arial" w:cs="Arial" w:eastAsia="Arial" w:hAnsi="Arial"/>
          <w:color w:val="7F7F7F"/>
          <w:sz w:val="18"/>
          <w:szCs w:val="18"/>
        </w:rPr>
        <w:t xml:space="preserve">Ce document est strictement confidentiel. Il ne doit pas être diffusé sans autorisation.</w:t>
      </w:r>
    </w:p>
    <w:p>
      <w:r>
        <w:br w:type="page"/>
      </w:r>
    </w:p>
    <w:p>
      <w:pPr>
        <w:pStyle w:val="Heading1"/>
        <w:spacing w:after="200" w:before="240"/>
      </w:pPr>
      <w:r>
        <w:rPr>
          <w:rFonts w:ascii="Arial" w:cs="Arial" w:eastAsia="Arial" w:hAnsi="Arial"/>
          <w:b/>
          <w:bCs/>
          <w:color w:val="1F4E79"/>
          <w:sz w:val="28"/>
          <w:szCs w:val="28"/>
        </w:rPr>
        <w:t xml:space="preserve">SOMMAIRE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color w:val="1F4E79"/>
          <w:sz w:val="28"/>
          <w:szCs w:val="28"/>
        </w:rPr>
        <w:t xml:space="preserve">PARTIE 1 — DESCRIPTION DU TRAITEMENT</w:t>
      </w:r>
    </w:p>
    <w:p>
      <w:pPr>
        <w:pStyle w:val="Heading2"/>
        <w:spacing w:after="80" w:before="200"/>
      </w:pPr>
      <w:r>
        <w:rPr>
          <w:rFonts w:ascii="Arial" w:cs="Arial" w:eastAsia="Arial" w:hAnsi="Arial"/>
          <w:b/>
          <w:bCs/>
          <w:color w:val="2E75B6"/>
          <w:sz w:val="24"/>
          <w:szCs w:val="24"/>
        </w:rPr>
        <w:t xml:space="preserve">1.1 Contexte et présentation générale</w:t>
      </w:r>
    </w:p>
    <w:p>
      <w:pPr>
        <w:spacing w:after="60" w:before="60"/>
      </w:pPr>
      <w:r>
        <w:rPr>
          <w:rFonts w:ascii="Arial" w:cs="Arial" w:eastAsia="Arial" w:hAnsi="Arial"/>
          <w:b w:val="false"/>
          <w:bCs w:val="false"/>
          <w:color w:val="000000"/>
          <w:sz w:val="22"/>
          <w:szCs w:val="22"/>
        </w:rPr>
        <w:t xml:space="preserve">L’application de gestion des accès aux outils d’Intelligence Artificielle est un système centralisé permettant de contrôler et sécuriser les connexions des collaborateurs (internes et prestataires) aux plateformes et services d’IA utilisés dans le cadre de l’activité professionnelle de l’organisation.</w:t>
      </w:r>
    </w:p>
    <w:p>
      <w:pPr>
        <w:spacing w:after="0" w:before="0"/>
      </w:pPr>
      <w:r>
        <w:rPr>
          <w:sz w:val="22"/>
          <w:szCs w:val="22"/>
        </w:rPr>
        <w:t xml:space="preserve"/>
      </w:r>
    </w:p>
    <w:p>
      <w:pPr>
        <w:spacing w:after="60" w:before="60"/>
      </w:pPr>
      <w:r>
        <w:rPr>
          <w:rFonts w:ascii="Arial" w:cs="Arial" w:eastAsia="Arial" w:hAnsi="Arial"/>
          <w:b w:val="false"/>
          <w:bCs w:val="false"/>
          <w:color w:val="000000"/>
          <w:sz w:val="22"/>
          <w:szCs w:val="22"/>
        </w:rPr>
        <w:t xml:space="preserve">L’outil poursuit les objectifs suivants :</w:t>
      </w:r>
    </w:p>
    <w:p>
      <w:pPr>
        <w:pStyle w:val="ListParagraph"/>
        <w:numPr>
          <w:ilvl w:val="0"/>
          <w:numId w:val="2"/>
        </w:numPr>
        <w:spacing w:after="40" w:before="40"/>
      </w:pPr>
      <w:r>
        <w:rPr>
          <w:rFonts w:ascii="Arial" w:cs="Arial" w:eastAsia="Arial" w:hAnsi="Arial"/>
          <w:sz w:val="20"/>
          <w:szCs w:val="20"/>
        </w:rPr>
        <w:t xml:space="preserve">Sécuriser et contrôler les accès aux services d’IA (authentification, habilitations),</w:t>
      </w:r>
    </w:p>
    <w:p>
      <w:pPr>
        <w:pStyle w:val="ListParagraph"/>
        <w:numPr>
          <w:ilvl w:val="0"/>
          <w:numId w:val="2"/>
        </w:numPr>
        <w:spacing w:after="40" w:before="40"/>
      </w:pPr>
      <w:r>
        <w:rPr>
          <w:rFonts w:ascii="Arial" w:cs="Arial" w:eastAsia="Arial" w:hAnsi="Arial"/>
          <w:sz w:val="20"/>
          <w:szCs w:val="20"/>
        </w:rPr>
        <w:t xml:space="preserve">Tracer les connexions à des fins de sécurité et de conformité,</w:t>
      </w:r>
    </w:p>
    <w:p>
      <w:pPr>
        <w:pStyle w:val="ListParagraph"/>
        <w:numPr>
          <w:ilvl w:val="0"/>
          <w:numId w:val="2"/>
        </w:numPr>
        <w:spacing w:after="40" w:before="40"/>
      </w:pPr>
      <w:r>
        <w:rPr>
          <w:rFonts w:ascii="Arial" w:cs="Arial" w:eastAsia="Arial" w:hAnsi="Arial"/>
          <w:sz w:val="20"/>
          <w:szCs w:val="20"/>
        </w:rPr>
        <w:t xml:space="preserve">Gérer le cycle de vie des droits d’accès (attribution, modification, révocation),</w:t>
      </w:r>
    </w:p>
    <w:p>
      <w:pPr>
        <w:pStyle w:val="ListParagraph"/>
        <w:numPr>
          <w:ilvl w:val="0"/>
          <w:numId w:val="2"/>
        </w:numPr>
        <w:spacing w:after="40" w:before="40"/>
      </w:pPr>
      <w:r>
        <w:rPr>
          <w:rFonts w:ascii="Arial" w:cs="Arial" w:eastAsia="Arial" w:hAnsi="Arial"/>
          <w:sz w:val="20"/>
          <w:szCs w:val="20"/>
        </w:rPr>
        <w:t xml:space="preserve">Détecter les tentatives d’accès non autorisés ou les comportements anormaux.</w:t>
      </w:r>
    </w:p>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1.2 Finalités du 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626"/>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Finalité</w:t>
            </w:r>
          </w:p>
        </w:tc>
        <w:tc>
          <w:tcPr>
            <w:tcW w:type="dxa" w:w="4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Détails</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Contrôle et authentification des accès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Vérification de l’identité des utilisateurs avant accès aux outils IA</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Gestion des droits et habilitations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Attribution, modification et révocation des accès selon le profil</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Traçabilité des connexions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Conservation des logs de connexion à des fins de sécurité informatique</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Détection des anomalies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Surveillance des accès suspects ou non autorisés</w:t>
            </w:r>
          </w:p>
        </w:tc>
      </w:tr>
    </w:tbl>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1.3 Données personnelles traitées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026"/>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Catégorie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Données concernées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Finalité associée</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 de conservation</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Identité</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 prénom, adresse email professionnelle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Authentification et gestion des accès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Durée de la relation active + 5 ans (archivage)</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Connexion / Logs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Logs de connexion, horodatages, adresse IP interne, identifiant de 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Traçabilité sécurité et détection des anomalies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an en base active, 5 ans en archivage</w:t>
            </w:r>
          </w:p>
        </w:tc>
      </w:tr>
    </w:tbl>
    <w:p>
      <w:pPr>
        <w:spacing w:after="0" w:before="0"/>
      </w:pPr>
      <w:r>
        <w:rPr>
          <w:sz w:val="22"/>
          <w:szCs w:val="22"/>
        </w:rPr>
        <w:t xml:space="preserve"/>
      </w:r>
    </w:p>
    <w:p>
      <w:pPr>
        <w:spacing w:after="60" w:before="60"/>
      </w:pPr>
      <w:r>
        <w:rPr>
          <w:rFonts w:ascii="Arial" w:cs="Arial" w:eastAsia="Arial" w:hAnsi="Arial"/>
          <w:b w:val="false"/>
          <w:bCs w:val="false"/>
          <w:color w:val="595959"/>
          <w:sz w:val="20"/>
          <w:szCs w:val="20"/>
        </w:rPr>
        <w:t xml:space="preserve">Note : Aucune donnée sensible au sens de l’article 9 du RGPD n’est traitée dans le cadre de ce traitement.</w:t>
      </w:r>
    </w:p>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1.4 Personnes concernées</w:t>
      </w:r>
    </w:p>
    <w:p>
      <w:pPr>
        <w:pStyle w:val="ListParagraph"/>
        <w:numPr>
          <w:ilvl w:val="0"/>
          <w:numId w:val="2"/>
        </w:numPr>
        <w:spacing w:after="40" w:before="40"/>
      </w:pPr>
      <w:r>
        <w:rPr>
          <w:rFonts w:ascii="Arial" w:cs="Arial" w:eastAsia="Arial" w:hAnsi="Arial"/>
          <w:sz w:val="20"/>
          <w:szCs w:val="20"/>
        </w:rPr>
        <w:t xml:space="preserve">Salariés et agents internes de l’organisation ayant accès aux outils d’IA,</w:t>
      </w:r>
    </w:p>
    <w:p>
      <w:pPr>
        <w:pStyle w:val="ListParagraph"/>
        <w:numPr>
          <w:ilvl w:val="0"/>
          <w:numId w:val="2"/>
        </w:numPr>
        <w:spacing w:after="40" w:before="40"/>
      </w:pPr>
      <w:r>
        <w:rPr>
          <w:rFonts w:ascii="Arial" w:cs="Arial" w:eastAsia="Arial" w:hAnsi="Arial"/>
          <w:sz w:val="20"/>
          <w:szCs w:val="20"/>
        </w:rPr>
        <w:t xml:space="preserve">Prestataires et sous-traitants externes auxquels un accès aux outils d’IA est accordé dans le cadre de leur mission.</w:t>
      </w:r>
    </w:p>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1.5 Destinataires et sous-traitants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000"/>
        <w:gridCol w:w="20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Destinataire / Sous-traitant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Localisation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du transfert</w:t>
            </w:r>
          </w:p>
        </w:tc>
        <w:tc>
          <w:tcPr>
            <w:tcW w:type="dxa" w:w="2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DPA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DSI / Équipe sécurité interne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Destinataire interne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 (même entité)</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Fournisseur(s) IA
(ex. Anthropic, OpenAI)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Sous-traitant (art. 28 RGPD)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États-Unis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Clauses Contractuelles Types (SCCs 2021 — module C2P)</w:t>
            </w:r>
          </w:p>
        </w:tc>
        <w:tc>
          <w:tcPr>
            <w:tcW w:type="dxa" w:w="20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signer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Hébergeur cloud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Sous-traitant</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préciser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SCCs ou décision d’adéquation</w:t>
            </w:r>
          </w:p>
        </w:tc>
        <w:tc>
          <w:tcPr>
            <w:tcW w:type="dxa" w:w="20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vérifier</w:t>
            </w:r>
          </w:p>
        </w:tc>
      </w:tr>
    </w:tbl>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1.6 Transferts hors Union Européenne</w:t>
      </w:r>
    </w:p>
    <w:p>
      <w:pPr>
        <w:spacing w:after="60" w:before="60"/>
      </w:pPr>
      <w:r>
        <w:rPr>
          <w:rFonts w:ascii="Arial" w:cs="Arial" w:eastAsia="Arial" w:hAnsi="Arial"/>
          <w:b w:val="false"/>
          <w:bCs w:val="false"/>
          <w:color w:val="000000"/>
          <w:sz w:val="22"/>
          <w:szCs w:val="22"/>
        </w:rPr>
        <w:t xml:space="preserve">Des transferts de données hors de l’Union Européenne sont anticipés, notamment vers les États-Unis, du fait du recours à des fournisseurs de solutions d’IA américains. Les mesures suivantes doivent être mises en place :</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Mécanisme</w:t>
            </w:r>
          </w:p>
        </w:tc>
        <w:tc>
          <w:tcPr>
            <w:tcW w:type="dxa" w:w="6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Clauses Contractuelles Types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SCCs version juin 2021 (JOUE 2021/914), module Controller-to-Processor (C2P)</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Transfer Impact Assessment (TIA)</w:t>
            </w:r>
          </w:p>
        </w:tc>
        <w:tc>
          <w:tcPr>
            <w:tcW w:type="dxa" w:w="60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réaliser : évaluation des conditions légales du pays destinataire (USA — surveillance étatique, CLOUD Act)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Mesures complémentaires éventuelles</w:t>
            </w:r>
          </w:p>
        </w:tc>
        <w:tc>
          <w:tcPr>
            <w:tcW w:type="dxa" w:w="60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évaluer selon les résultats du TIA (pseudonymisation, chiffrement bout-en-bout, localisation des données)</w:t>
            </w:r>
          </w:p>
        </w:tc>
      </w:tr>
    </w:tbl>
    <w:p>
      <w:r>
        <w:br w:type="page"/>
      </w:r>
    </w:p>
    <w:p>
      <w:pPr>
        <w:pStyle w:val="Heading1"/>
        <w:spacing w:after="120" w:before="240"/>
      </w:pPr>
      <w:r>
        <w:rPr>
          <w:rFonts w:ascii="Arial" w:cs="Arial" w:eastAsia="Arial" w:hAnsi="Arial"/>
          <w:b/>
          <w:bCs/>
          <w:color w:val="1F4E79"/>
          <w:sz w:val="28"/>
          <w:szCs w:val="28"/>
        </w:rPr>
        <w:t xml:space="preserve">PARTIE 2 — APRÉCIATION DE LA NÉCESSITÉ ET DE LA PROPORTIONNALITÉ</w:t>
      </w:r>
    </w:p>
    <w:p>
      <w:pPr>
        <w:pStyle w:val="Heading2"/>
        <w:spacing w:after="80" w:before="200"/>
      </w:pPr>
      <w:r>
        <w:rPr>
          <w:rFonts w:ascii="Arial" w:cs="Arial" w:eastAsia="Arial" w:hAnsi="Arial"/>
          <w:b/>
          <w:bCs/>
          <w:color w:val="2E75B6"/>
          <w:sz w:val="24"/>
          <w:szCs w:val="24"/>
        </w:rPr>
        <w:t xml:space="preserve">2.1 Pertinence et adéquation des données (minimisation)</w:t>
      </w:r>
    </w:p>
    <w:p>
      <w:pPr>
        <w:pStyle w:val="ListParagraph"/>
        <w:numPr>
          <w:ilvl w:val="0"/>
          <w:numId w:val="2"/>
        </w:numPr>
        <w:spacing w:after="40" w:before="40"/>
      </w:pPr>
      <w:r>
        <w:rPr>
          <w:rFonts w:ascii="Arial" w:cs="Arial" w:eastAsia="Arial" w:hAnsi="Arial"/>
          <w:sz w:val="20"/>
          <w:szCs w:val="20"/>
        </w:rPr>
        <w:t xml:space="preserve">Seules les données strictement nécessaires à l’authentification et à la traçabilité sont collectées.</w:t>
      </w:r>
    </w:p>
    <w:p>
      <w:pPr>
        <w:pStyle w:val="ListParagraph"/>
        <w:numPr>
          <w:ilvl w:val="0"/>
          <w:numId w:val="2"/>
        </w:numPr>
        <w:spacing w:after="40" w:before="40"/>
      </w:pPr>
      <w:r>
        <w:rPr>
          <w:rFonts w:ascii="Arial" w:cs="Arial" w:eastAsia="Arial" w:hAnsi="Arial"/>
          <w:sz w:val="20"/>
          <w:szCs w:val="20"/>
        </w:rPr>
        <w:t xml:space="preserve">L’email professionnel est préféré à l’email personnel pour limiter l’exposition des données privées.</w:t>
      </w:r>
    </w:p>
    <w:p>
      <w:pPr>
        <w:pStyle w:val="ListParagraph"/>
        <w:numPr>
          <w:ilvl w:val="0"/>
          <w:numId w:val="2"/>
        </w:numPr>
        <w:spacing w:after="40" w:before="40"/>
      </w:pPr>
      <w:r>
        <w:rPr>
          <w:rFonts w:ascii="Arial" w:cs="Arial" w:eastAsia="Arial" w:hAnsi="Arial"/>
          <w:sz w:val="20"/>
          <w:szCs w:val="20"/>
        </w:rPr>
        <w:t xml:space="preserve">Les logs de connexion (IP, horodatage, session ID) sont nécessaires pour les finalités de sécurité et de détection des anomalies.</w:t>
      </w:r>
    </w:p>
    <w:p>
      <w:pPr>
        <w:pStyle w:val="ListParagraph"/>
        <w:numPr>
          <w:ilvl w:val="0"/>
          <w:numId w:val="2"/>
        </w:numPr>
        <w:spacing w:after="40" w:before="40"/>
      </w:pPr>
      <w:r>
        <w:rPr>
          <w:rFonts w:ascii="Arial" w:cs="Arial" w:eastAsia="Arial" w:hAnsi="Arial"/>
          <w:sz w:val="20"/>
          <w:szCs w:val="20"/>
        </w:rPr>
        <w:t xml:space="preserve">Aucune donnée de contenu (prompts envoyés aux outils IA) n’est collectée dans ce traitement.</w:t>
      </w:r>
    </w:p>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2.2 Limitation des finalités</w:t>
      </w:r>
    </w:p>
    <w:p>
      <w:pPr>
        <w:pStyle w:val="ListParagraph"/>
        <w:numPr>
          <w:ilvl w:val="0"/>
          <w:numId w:val="2"/>
        </w:numPr>
        <w:spacing w:after="40" w:before="40"/>
      </w:pPr>
      <w:r>
        <w:rPr>
          <w:rFonts w:ascii="Arial" w:cs="Arial" w:eastAsia="Arial" w:hAnsi="Arial"/>
          <w:sz w:val="20"/>
          <w:szCs w:val="20"/>
        </w:rPr>
        <w:t xml:space="preserve">Les données collectées sont utilisées exclusivement pour la gestion des accès aux outils d’IA.</w:t>
      </w:r>
    </w:p>
    <w:p>
      <w:pPr>
        <w:pStyle w:val="ListParagraph"/>
        <w:numPr>
          <w:ilvl w:val="0"/>
          <w:numId w:val="2"/>
        </w:numPr>
        <w:spacing w:after="40" w:before="40"/>
      </w:pPr>
      <w:r>
        <w:rPr>
          <w:rFonts w:ascii="Arial" w:cs="Arial" w:eastAsia="Arial" w:hAnsi="Arial"/>
          <w:sz w:val="20"/>
          <w:szCs w:val="20"/>
        </w:rPr>
        <w:t xml:space="preserve">Elles ne sont pas exploitées à des fins RH, commerciales ou de profiling comportemental.</w:t>
      </w:r>
    </w:p>
    <w:p>
      <w:pPr>
        <w:pStyle w:val="ListParagraph"/>
        <w:numPr>
          <w:ilvl w:val="0"/>
          <w:numId w:val="2"/>
        </w:numPr>
        <w:spacing w:after="40" w:before="40"/>
      </w:pPr>
      <w:r>
        <w:rPr>
          <w:rFonts w:ascii="Arial" w:cs="Arial" w:eastAsia="Arial" w:hAnsi="Arial"/>
          <w:sz w:val="20"/>
          <w:szCs w:val="20"/>
        </w:rPr>
        <w:t xml:space="preserve">Toute utilisation secondaire nécessitera une nouvelle analyse de compatibilité des finalités et, le cas échéant, une base légale distincte.</w:t>
      </w:r>
    </w:p>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2.3 Durées de conservation justifiées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Donnée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Conservation active</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Archivage / Justification</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Données d’identité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Durée de la relation professionnelle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ans après fin de relation — préscription civile (art. L110-4 C.com.)</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Logs de connexion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an glissant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ans en archivage — recommandation CNIL (délibération n°2006-066)</w:t>
            </w:r>
          </w:p>
        </w:tc>
      </w:tr>
    </w:tbl>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2.4 Information des personnes concernées</w:t>
      </w:r>
    </w:p>
    <w:p>
      <w:pPr>
        <w:pStyle w:val="ListParagraph"/>
        <w:numPr>
          <w:ilvl w:val="0"/>
          <w:numId w:val="2"/>
        </w:numPr>
        <w:spacing w:after="40" w:before="40"/>
      </w:pPr>
      <w:r>
        <w:rPr>
          <w:rFonts w:ascii="Arial" w:cs="Arial" w:eastAsia="Arial" w:hAnsi="Arial"/>
          <w:sz w:val="20"/>
          <w:szCs w:val="20"/>
        </w:rPr>
        <w:t xml:space="preserve">Information fournie lors de l’onboarding (remise de la charte informatique + mention RGPD).</w:t>
      </w:r>
    </w:p>
    <w:p>
      <w:pPr>
        <w:pStyle w:val="ListParagraph"/>
        <w:numPr>
          <w:ilvl w:val="0"/>
          <w:numId w:val="2"/>
        </w:numPr>
        <w:spacing w:after="40" w:before="40"/>
      </w:pPr>
      <w:r>
        <w:rPr>
          <w:rFonts w:ascii="Arial" w:cs="Arial" w:eastAsia="Arial" w:hAnsi="Arial"/>
          <w:sz w:val="20"/>
          <w:szCs w:val="20"/>
        </w:rPr>
        <w:t xml:space="preserve">Mention dans la politique de confidentialité interne, accessible à tout moment.</w:t>
      </w:r>
    </w:p>
    <w:p>
      <w:pPr>
        <w:pStyle w:val="ListParagraph"/>
        <w:numPr>
          <w:ilvl w:val="0"/>
          <w:numId w:val="2"/>
        </w:numPr>
        <w:spacing w:after="40" w:before="40"/>
      </w:pPr>
      <w:r>
        <w:rPr>
          <w:rFonts w:ascii="Arial" w:cs="Arial" w:eastAsia="Arial" w:hAnsi="Arial"/>
          <w:sz w:val="20"/>
          <w:szCs w:val="20"/>
        </w:rPr>
        <w:t xml:space="preserve">Mise à jour du registre des activités de traitement (Article 30 RGPD) par le DPO.</w:t>
      </w:r>
    </w:p>
    <w:p>
      <w:pPr>
        <w:pStyle w:val="ListParagraph"/>
        <w:numPr>
          <w:ilvl w:val="0"/>
          <w:numId w:val="2"/>
        </w:numPr>
        <w:spacing w:after="40" w:before="40"/>
      </w:pPr>
      <w:r>
        <w:rPr>
          <w:rFonts w:ascii="Arial" w:cs="Arial" w:eastAsia="Arial" w:hAnsi="Arial"/>
          <w:sz w:val="20"/>
          <w:szCs w:val="20"/>
        </w:rPr>
        <w:t xml:space="preserve">Mise à jour de l’information en cas de changement significatif du traitement.</w:t>
      </w:r>
    </w:p>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2.5 Exercice des droits des personnes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Droit</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Exercice possible ?</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Commentaires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Accès (art. 15)</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Via le DPO — réponse sous 30 jours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Rectification (art. 16)</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Oui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Correction des données d’identité inexactes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Effacement (art. 17)</w:t>
            </w:r>
          </w:p>
        </w:tc>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Partiel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Limité par les obligations de sécurité et les durées légales de conservation des logs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Portabilité (art. 20)</w:t>
            </w:r>
          </w:p>
        </w:tc>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Non applicable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 légale = intérêt légitime (non concerné par la portabilité)</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Opposition (art. 21)</w:t>
            </w:r>
          </w:p>
        </w:tc>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Examen cas par cas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Examen au cas par cas selon les motifs légitimes invoqués par la personne</w:t>
            </w:r>
          </w:p>
        </w:tc>
      </w:tr>
    </w:tbl>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2.6 Sous-traitance et contrôle de la chaîne</w:t>
      </w:r>
    </w:p>
    <w:p>
      <w:pPr>
        <w:pStyle w:val="ListParagraph"/>
        <w:numPr>
          <w:ilvl w:val="0"/>
          <w:numId w:val="2"/>
        </w:numPr>
        <w:spacing w:after="40" w:before="40"/>
      </w:pPr>
      <w:r>
        <w:rPr>
          <w:rFonts w:ascii="Arial" w:cs="Arial" w:eastAsia="Arial" w:hAnsi="Arial"/>
          <w:sz w:val="20"/>
          <w:szCs w:val="20"/>
        </w:rPr>
        <w:t xml:space="preserve">Un contrat de traitement des données (DPA) conforme à l’article 28 du RGPD doit être signé avec chaque sous-traitant.</w:t>
      </w:r>
    </w:p>
    <w:p>
      <w:pPr>
        <w:pStyle w:val="ListParagraph"/>
        <w:numPr>
          <w:ilvl w:val="0"/>
          <w:numId w:val="2"/>
        </w:numPr>
        <w:spacing w:after="40" w:before="40"/>
      </w:pPr>
      <w:r>
        <w:rPr>
          <w:rFonts w:ascii="Arial" w:cs="Arial" w:eastAsia="Arial" w:hAnsi="Arial"/>
          <w:sz w:val="20"/>
          <w:szCs w:val="20"/>
        </w:rPr>
        <w:t xml:space="preserve">Les sous-traitants ne peuvent faire appel à un sous-traitant ultérieur sans autorisation préalable du responsable du traitement.</w:t>
      </w:r>
    </w:p>
    <w:p>
      <w:pPr>
        <w:pStyle w:val="ListParagraph"/>
        <w:numPr>
          <w:ilvl w:val="0"/>
          <w:numId w:val="2"/>
        </w:numPr>
        <w:spacing w:after="40" w:before="40"/>
      </w:pPr>
      <w:r>
        <w:rPr>
          <w:rFonts w:ascii="Arial" w:cs="Arial" w:eastAsia="Arial" w:hAnsi="Arial"/>
          <w:sz w:val="20"/>
          <w:szCs w:val="20"/>
        </w:rPr>
        <w:t xml:space="preserve">Un audit périodique des sous-traitants est prévu (rapport SOC 2 Type II ou audit sur site).</w:t>
      </w:r>
    </w:p>
    <w:p>
      <w:r>
        <w:br w:type="page"/>
      </w:r>
    </w:p>
    <w:p>
      <w:pPr>
        <w:pStyle w:val="Heading1"/>
        <w:spacing w:after="120" w:before="240"/>
      </w:pPr>
      <w:r>
        <w:rPr>
          <w:rFonts w:ascii="Arial" w:cs="Arial" w:eastAsia="Arial" w:hAnsi="Arial"/>
          <w:b/>
          <w:bCs/>
          <w:color w:val="1F4E79"/>
          <w:sz w:val="28"/>
          <w:szCs w:val="28"/>
        </w:rPr>
        <w:t xml:space="preserve">PARTIE 3 — ANALYSE DES RISQUES SUR LA VIE PRIVÉE</w:t>
      </w:r>
    </w:p>
    <w:p>
      <w:pPr>
        <w:spacing w:after="60" w:before="60"/>
      </w:pPr>
      <w:r>
        <w:rPr>
          <w:rFonts w:ascii="Arial" w:cs="Arial" w:eastAsia="Arial" w:hAnsi="Arial"/>
          <w:b w:val="false"/>
          <w:bCs w:val="false"/>
          <w:color w:val="000000"/>
          <w:sz w:val="22"/>
          <w:szCs w:val="22"/>
        </w:rPr>
        <w:t xml:space="preserve">L’analyse des risques est conduite selon la méthodologie CNIL. Chaque risque est évalué selon deux axes : l’impact sur les droits et libertés des personnes concernées, et la vraisemblance de sa survenance.</w:t>
      </w:r>
    </w:p>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3.1 Tableau d’analyse des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200"/>
        <w:gridCol w:w="1200"/>
        <w:gridCol w:w="1200"/>
        <w:gridCol w:w="2326"/>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de menace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Vraisemblance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23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Mesures principales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 — Accès non autorisé aux données (confidentialité)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Attaque externe, insider malveillant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Fort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4B942"/>
                <w:sz w:val="20"/>
                <w:szCs w:val="20"/>
              </w:rPr>
              <w:t xml:space="preserve">Modérée</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Élevé</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Chiffrement, RBAC, MFA, journalisation admins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 — Divulgation à un tiers non autorisé (confidentialité)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Erreur humaine, mauvaise configuration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4B942"/>
                <w:sz w:val="20"/>
                <w:szCs w:val="20"/>
              </w:rPr>
              <w:t xml:space="preserve">Modéré</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70AD47"/>
                <w:sz w:val="20"/>
                <w:szCs w:val="20"/>
              </w:rPr>
              <w:t xml:space="preserve">Faible</w:t>
            </w:r>
          </w:p>
        </w:tc>
        <w:tc>
          <w:tcPr>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Modéré</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DPA avec sous-traitants, audits, minimisation des accès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 — Altération ou perte des données (intégrité / disponibilité)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Cyberattaque (ransomware), défaillance technique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4B942"/>
                <w:sz w:val="20"/>
                <w:szCs w:val="20"/>
              </w:rPr>
              <w:t xml:space="preserve">Modéré</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70AD47"/>
                <w:sz w:val="20"/>
                <w:szCs w:val="20"/>
              </w:rPr>
              <w:t xml:space="preserve">Faible</w:t>
            </w:r>
          </w:p>
        </w:tc>
        <w:tc>
          <w:tcPr>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Modéré</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Sauvegardes régulières, PRA/PCA, intégrité des logs garantie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R4 — Transfert vers pays tiers sans garanties (conformité)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Fournisseur IA basé hors 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Fort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4B942"/>
                <w:sz w:val="20"/>
                <w:szCs w:val="20"/>
              </w:rPr>
              <w:t xml:space="preserve">Modérée</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Élevé</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Signature SCCs 2021, TIA, évaluation des garanties complémentaires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R5 — Surveillance excessive des utilisateurs (proportionnalité)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Utilisation détournée des logs de connexion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Fort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70AD47"/>
                <w:sz w:val="20"/>
                <w:szCs w:val="20"/>
              </w:rPr>
              <w:t xml:space="preserve">Faible</w:t>
            </w:r>
          </w:p>
        </w:tc>
        <w:tc>
          <w:tcPr>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Modéré</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Limitation stricte des finalités, accès aux logs restreint, procédure d’accès définie</w:t>
            </w:r>
          </w:p>
        </w:tc>
      </w:tr>
    </w:tbl>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3.2 Matrice des risques (Impact × Vraisemblance)</w:t>
      </w:r>
    </w:p>
    <w:p>
      <w:pPr>
        <w:spacing w:after="60" w:before="60"/>
      </w:pPr>
      <w:r>
        <w:rPr>
          <w:rFonts w:ascii="Arial" w:cs="Arial" w:eastAsia="Arial" w:hAnsi="Arial"/>
          <w:b w:val="false"/>
          <w:bCs w:val="false"/>
          <w:color w:val="000000"/>
          <w:sz w:val="20"/>
          <w:szCs w:val="20"/>
        </w:rPr>
        <w:t xml:space="preserve">Lecture : chaque risque est positionné dans la matrice selon son niveau d’impact (vertical) et sa vraisemblance (horizontal) avant mesures.</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50"/>
        <w:gridCol w:w="1850"/>
        <w:gridCol w:w="1850"/>
        <w:gridCol w:w="1676"/>
      </w:tblGrid>
      <w:tr>
        <w:tc>
          <w:tcPr>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595959"/>
                <w:sz w:val="18"/>
                <w:szCs w:val="18"/>
              </w:rPr>
              <w:t xml:space="preserve">Impact ↓ / Vraisemblance →</w:t>
            </w:r>
          </w:p>
        </w:tc>
        <w:tc>
          <w:tcPr>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Faible</w:t>
            </w:r>
          </w:p>
        </w:tc>
        <w:tc>
          <w:tcPr>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Modérée</w:t>
            </w:r>
          </w:p>
        </w:tc>
        <w:tc>
          <w:tcPr>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Élevée</w:t>
            </w:r>
          </w:p>
        </w:tc>
        <w:tc>
          <w:tcPr>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Très élevée</w:t>
            </w:r>
          </w:p>
        </w:tc>
      </w:tr>
      <w:tr>
        <w:tc>
          <w:tcPr>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Fort</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20"/>
                <w:szCs w:val="20"/>
              </w:rPr>
              <w:t xml:space="preserve">Modéré
R5</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20"/>
                <w:szCs w:val="20"/>
              </w:rPr>
              <w:t xml:space="preserve">Élevé
R1, R4</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Critique</w:t>
            </w:r>
          </w:p>
        </w:tc>
        <w:tc>
          <w:tcPr>
            <w:tcBorders>
              <w:top w:val="single" w:color="CCCCCC" w:sz="1"/>
              <w:left w:val="single" w:color="CCCCCC" w:sz="1"/>
              <w:bottom w:val="single" w:color="CCCCCC" w:sz="1"/>
              <w:right w:val="single" w:color="CCCCCC" w:sz="1"/>
            </w:tcBorders>
            <w:shd w:fill="7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Critique</w:t>
            </w:r>
          </w:p>
        </w:tc>
      </w:tr>
      <w:tr>
        <w:tc>
          <w:tcPr>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Modéré</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20"/>
                <w:szCs w:val="20"/>
              </w:rPr>
              <w:t xml:space="preserve">Faible
R2, R3</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20"/>
                <w:szCs w:val="20"/>
              </w:rPr>
              <w:t xml:space="preserve">Modéré</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20"/>
                <w:szCs w:val="20"/>
              </w:rPr>
              <w:t xml:space="preserve">Élevé</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Critique</w:t>
            </w:r>
          </w:p>
        </w:tc>
      </w:tr>
      <w:tr>
        <w:tc>
          <w:tcPr>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Faible</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20"/>
                <w:szCs w:val="20"/>
              </w:rPr>
              <w:t xml:space="preserve">Faible</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20"/>
                <w:szCs w:val="20"/>
              </w:rPr>
              <w:t xml:space="preserve">Faible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sz w:val="20"/>
                <w:szCs w:val="20"/>
              </w:rPr>
              <w:t xml:space="preserve">Modéré</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20"/>
                <w:szCs w:val="20"/>
              </w:rPr>
              <w:t xml:space="preserve">Élevé</w:t>
            </w:r>
          </w:p>
        </w:tc>
      </w:tr>
    </w:tbl>
    <w:p>
      <w:r>
        <w:br w:type="page"/>
      </w:r>
    </w:p>
    <w:p>
      <w:pPr>
        <w:pStyle w:val="Heading1"/>
        <w:spacing w:after="120" w:before="240"/>
      </w:pPr>
      <w:r>
        <w:rPr>
          <w:rFonts w:ascii="Arial" w:cs="Arial" w:eastAsia="Arial" w:hAnsi="Arial"/>
          <w:b/>
          <w:bCs/>
          <w:color w:val="1F4E79"/>
          <w:sz w:val="28"/>
          <w:szCs w:val="28"/>
        </w:rPr>
        <w:t xml:space="preserve">PARTIE 4 — MESURES POUR TRAITER LES RISQUES</w:t>
      </w:r>
    </w:p>
    <w:p>
      <w:pPr>
        <w:pStyle w:val="Heading2"/>
        <w:spacing w:after="80" w:before="200"/>
      </w:pPr>
      <w:r>
        <w:rPr>
          <w:rFonts w:ascii="Arial" w:cs="Arial" w:eastAsia="Arial" w:hAnsi="Arial"/>
          <w:b/>
          <w:bCs/>
          <w:color w:val="2E75B6"/>
          <w:sz w:val="24"/>
          <w:szCs w:val="24"/>
        </w:rPr>
        <w:t xml:space="preserve">4.1 Mesures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Authentification forte (MFA)</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Obligation du double facteur pour tous les accès aux outils IA</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Chiffrement en transit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TLS 1.2 minimum pour toutes les communications avec les fournisseurs d’IA</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Chiffrement au repos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Chiffrement des logs et données stockées (AES-256 ou équivalent)</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Contrôle d’accès (RBAC)</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Attribution des droits selon le rôle et le besoin réel ; principe du moindre privilège</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Journalisation des accès privilégiés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Monitoring des actions des administrateurs de l’application</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Politique de mots de passe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Longueur minimale 12 caractères, rotation périodique, interdiction des mots de passe réutilisés</w:t>
            </w:r>
          </w:p>
        </w:tc>
      </w:tr>
    </w:tbl>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4.2 Mesures organisationnelles</w:t>
      </w:r>
    </w:p>
    <w:p>
      <w:pPr>
        <w:pStyle w:val="ListParagraph"/>
        <w:numPr>
          <w:ilvl w:val="0"/>
          <w:numId w:val="2"/>
        </w:numPr>
        <w:spacing w:after="40" w:before="40"/>
      </w:pPr>
      <w:r>
        <w:rPr>
          <w:rFonts w:ascii="Arial" w:cs="Arial" w:eastAsia="Arial" w:hAnsi="Arial"/>
          <w:sz w:val="20"/>
          <w:szCs w:val="20"/>
        </w:rPr>
        <w:t xml:space="preserve">Désignation d’un référent sécurité et d’un DPO responsables du suivi du traitement.</w:t>
      </w:r>
    </w:p>
    <w:p>
      <w:pPr>
        <w:pStyle w:val="ListParagraph"/>
        <w:numPr>
          <w:ilvl w:val="0"/>
          <w:numId w:val="2"/>
        </w:numPr>
        <w:spacing w:after="40" w:before="40"/>
      </w:pPr>
      <w:r>
        <w:rPr>
          <w:rFonts w:ascii="Arial" w:cs="Arial" w:eastAsia="Arial" w:hAnsi="Arial"/>
          <w:sz w:val="20"/>
          <w:szCs w:val="20"/>
        </w:rPr>
        <w:t xml:space="preserve">Charte informatique opposable aux utilisateurs, signée lors de l’onboarding.</w:t>
      </w:r>
    </w:p>
    <w:p>
      <w:pPr>
        <w:pStyle w:val="ListParagraph"/>
        <w:numPr>
          <w:ilvl w:val="0"/>
          <w:numId w:val="2"/>
        </w:numPr>
        <w:spacing w:after="40" w:before="40"/>
      </w:pPr>
      <w:r>
        <w:rPr>
          <w:rFonts w:ascii="Arial" w:cs="Arial" w:eastAsia="Arial" w:hAnsi="Arial"/>
          <w:sz w:val="20"/>
          <w:szCs w:val="20"/>
        </w:rPr>
        <w:t xml:space="preserve">Formation spécifique des administrateurs de l’application (RGPD, gestion des accès).</w:t>
      </w:r>
    </w:p>
    <w:p>
      <w:pPr>
        <w:pStyle w:val="ListParagraph"/>
        <w:numPr>
          <w:ilvl w:val="0"/>
          <w:numId w:val="2"/>
        </w:numPr>
        <w:spacing w:after="40" w:before="40"/>
      </w:pPr>
      <w:r>
        <w:rPr>
          <w:rFonts w:ascii="Arial" w:cs="Arial" w:eastAsia="Arial" w:hAnsi="Arial"/>
          <w:sz w:val="20"/>
          <w:szCs w:val="20"/>
        </w:rPr>
        <w:t xml:space="preserve">Procédure de gestion des incidents de sécurité (notification CNIL sous 72h, art. 33 RGPD).</w:t>
      </w:r>
    </w:p>
    <w:p>
      <w:pPr>
        <w:pStyle w:val="ListParagraph"/>
        <w:numPr>
          <w:ilvl w:val="0"/>
          <w:numId w:val="2"/>
        </w:numPr>
        <w:spacing w:after="40" w:before="40"/>
      </w:pPr>
      <w:r>
        <w:rPr>
          <w:rFonts w:ascii="Arial" w:cs="Arial" w:eastAsia="Arial" w:hAnsi="Arial"/>
          <w:sz w:val="20"/>
          <w:szCs w:val="20"/>
        </w:rPr>
        <w:t xml:space="preserve">Revue périodique des droits d’accès (tous les 6 mois minimum) avec purge des comptes inactifs.</w:t>
      </w:r>
    </w:p>
    <w:p>
      <w:pPr>
        <w:pStyle w:val="ListParagraph"/>
        <w:numPr>
          <w:ilvl w:val="0"/>
          <w:numId w:val="2"/>
        </w:numPr>
        <w:spacing w:after="40" w:before="40"/>
      </w:pPr>
      <w:r>
        <w:rPr>
          <w:rFonts w:ascii="Arial" w:cs="Arial" w:eastAsia="Arial" w:hAnsi="Arial"/>
          <w:sz w:val="20"/>
          <w:szCs w:val="20"/>
        </w:rPr>
        <w:t xml:space="preserve">Plan de réponse aux violations de données documentant les étapes de notification réglementaire.</w:t>
      </w:r>
    </w:p>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4.3 Mesures contractuelles</w:t>
      </w:r>
    </w:p>
    <w:p>
      <w:pPr>
        <w:pStyle w:val="ListParagraph"/>
        <w:numPr>
          <w:ilvl w:val="0"/>
          <w:numId w:val="2"/>
        </w:numPr>
        <w:spacing w:after="40" w:before="40"/>
      </w:pPr>
      <w:r>
        <w:rPr>
          <w:rFonts w:ascii="Arial" w:cs="Arial" w:eastAsia="Arial" w:hAnsi="Arial"/>
          <w:sz w:val="20"/>
          <w:szCs w:val="20"/>
        </w:rPr>
        <w:t xml:space="preserve">DPA (Data Processing Agreement) conforme art. 28 RGPD signé avec chaque sous-traitant (fournisseur IA, hébergeur).</w:t>
      </w:r>
    </w:p>
    <w:p>
      <w:pPr>
        <w:pStyle w:val="ListParagraph"/>
        <w:numPr>
          <w:ilvl w:val="0"/>
          <w:numId w:val="2"/>
        </w:numPr>
        <w:spacing w:after="40" w:before="40"/>
      </w:pPr>
      <w:r>
        <w:rPr>
          <w:rFonts w:ascii="Arial" w:cs="Arial" w:eastAsia="Arial" w:hAnsi="Arial"/>
          <w:sz w:val="20"/>
          <w:szCs w:val="20"/>
        </w:rPr>
        <w:t xml:space="preserve">SCCs version juin 2021 (module C2P) intégrées dans les contrats avec les fournisseurs hors UE.</w:t>
      </w:r>
    </w:p>
    <w:p>
      <w:pPr>
        <w:pStyle w:val="ListParagraph"/>
        <w:numPr>
          <w:ilvl w:val="0"/>
          <w:numId w:val="2"/>
        </w:numPr>
        <w:spacing w:after="40" w:before="40"/>
      </w:pPr>
      <w:r>
        <w:rPr>
          <w:rFonts w:ascii="Arial" w:cs="Arial" w:eastAsia="Arial" w:hAnsi="Arial"/>
          <w:sz w:val="20"/>
          <w:szCs w:val="20"/>
        </w:rPr>
        <w:t xml:space="preserve">Clauses d’audit (droit d’audit sur demande ou rapport SOC 2 Type II) incluses dans les DPA.</w:t>
      </w:r>
    </w:p>
    <w:p>
      <w:pPr>
        <w:pStyle w:val="ListParagraph"/>
        <w:numPr>
          <w:ilvl w:val="0"/>
          <w:numId w:val="2"/>
        </w:numPr>
        <w:spacing w:after="40" w:before="40"/>
      </w:pPr>
      <w:r>
        <w:rPr>
          <w:rFonts w:ascii="Arial" w:cs="Arial" w:eastAsia="Arial" w:hAnsi="Arial"/>
          <w:sz w:val="20"/>
          <w:szCs w:val="20"/>
        </w:rPr>
        <w:t xml:space="preserve">Clause de notification de violation de données sous 24–48h dans les DPA sous-traitants (pour respecter le délai CNIL de 72h).</w:t>
      </w:r>
    </w:p>
    <w:p>
      <w:r>
        <w:br w:type="page"/>
      </w:r>
    </w:p>
    <w:p>
      <w:pPr>
        <w:pStyle w:val="Heading1"/>
        <w:spacing w:after="120" w:before="240"/>
      </w:pPr>
      <w:r>
        <w:rPr>
          <w:rFonts w:ascii="Arial" w:cs="Arial" w:eastAsia="Arial" w:hAnsi="Arial"/>
          <w:b/>
          <w:bCs/>
          <w:color w:val="1F4E79"/>
          <w:sz w:val="28"/>
          <w:szCs w:val="28"/>
        </w:rPr>
        <w:t xml:space="preserve">PARTIE 5 — CONCLUSION ET DÉCISION</w:t>
      </w:r>
    </w:p>
    <w:p>
      <w:pPr>
        <w:pStyle w:val="Heading2"/>
        <w:spacing w:after="80" w:before="200"/>
      </w:pPr>
      <w:r>
        <w:rPr>
          <w:rFonts w:ascii="Arial" w:cs="Arial" w:eastAsia="Arial" w:hAnsi="Arial"/>
          <w:b/>
          <w:bCs/>
          <w:color w:val="2E75B6"/>
          <w:sz w:val="24"/>
          <w:szCs w:val="24"/>
        </w:rPr>
        <w:t xml:space="preserve">5.1 Synthèse des risques résiduels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4326"/>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 initial</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 résiduel</w:t>
            </w:r>
          </w:p>
        </w:tc>
        <w:tc>
          <w:tcPr>
            <w:tcW w:type="dxa" w:w="43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Mesures appliquées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 — Accès non autorisé</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Élevé</w:t>
            </w:r>
          </w:p>
        </w:tc>
        <w:tc>
          <w:tcPr>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Modéré</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MFA, RBAC, chiffrement, monitoring des admins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 — Divulgation tiers</w:t>
            </w:r>
          </w:p>
        </w:tc>
        <w:tc>
          <w:tcPr>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Modéré</w:t>
            </w:r>
          </w:p>
        </w:tc>
        <w:tc>
          <w:tcPr>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Faible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DPA, audits, minimisation des accès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 — Altération / perte</w:t>
            </w:r>
          </w:p>
        </w:tc>
        <w:tc>
          <w:tcPr>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Modéré</w:t>
            </w:r>
          </w:p>
        </w:tc>
        <w:tc>
          <w:tcPr>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Faible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Sauvegardes, PRA/PCA, intégrité logs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R4 — Transfert hors UE</w:t>
            </w:r>
          </w:p>
        </w:tc>
        <w:tc>
          <w:tcPr>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Élevé</w:t>
            </w:r>
          </w:p>
        </w:tc>
        <w:tc>
          <w:tcPr>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Modéré</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SCCs 2021, TIA à finaliser, DPA à signer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R5 — Surveillance excessive</w:t>
            </w:r>
          </w:p>
        </w:tc>
        <w:tc>
          <w:tcPr>
            <w:tcBorders>
              <w:top w:val="single" w:color="CCCCCC" w:sz="1"/>
              <w:left w:val="single" w:color="CCCCCC" w:sz="1"/>
              <w:bottom w:val="single" w:color="CCCCCC" w:sz="1"/>
              <w:right w:val="single" w:color="CCCCCC" w:sz="1"/>
            </w:tcBorders>
            <w:shd w:fill="F4B9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Modéré</w:t>
            </w:r>
          </w:p>
        </w:tc>
        <w:tc>
          <w:tcPr>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Faible</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Limitation des finalités, accès logs restreint, procédure</w:t>
            </w:r>
          </w:p>
        </w:tc>
      </w:tr>
    </w:tbl>
    <w:p>
      <w:pPr>
        <w:spacing w:after="0" w:before="0"/>
      </w:pPr>
      <w:r>
        <w:rPr>
          <w:sz w:val="22"/>
          <w:szCs w:val="22"/>
        </w:rPr>
        <w:t xml:space="preserve"/>
      </w:r>
    </w:p>
    <w:p>
      <w:pPr>
        <w:spacing w:after="80" w:before="80"/>
      </w:pPr>
      <w:r>
        <w:rPr>
          <w:rFonts w:ascii="Arial" w:cs="Arial" w:eastAsia="Arial" w:hAnsi="Arial"/>
          <w:b/>
          <w:bCs/>
          <w:sz w:val="22"/>
          <w:szCs w:val="22"/>
        </w:rPr>
        <w:t xml:space="preserve">Niveau global de risque résiduel : </w:t>
      </w:r>
      <w:r>
        <w:rPr>
          <w:rFonts w:ascii="Arial" w:cs="Arial" w:eastAsia="Arial" w:hAnsi="Arial"/>
          <w:b/>
          <w:bCs/>
          <w:color w:val="F4B942"/>
          <w:sz w:val="22"/>
          <w:szCs w:val="22"/>
        </w:rPr>
        <w:t xml:space="preserve">MODÉRÉ</w:t>
      </w:r>
      <w:r>
        <w:rPr>
          <w:rFonts w:ascii="Arial" w:cs="Arial" w:eastAsia="Arial" w:hAnsi="Arial"/>
          <w:sz w:val="22"/>
          <w:szCs w:val="22"/>
        </w:rPr>
        <w:t xml:space="preserve"> — avec réserve sur les transferts hors UE (R4, subordonné à la signature des SCCs et à la réalisation du TIA).</w:t>
      </w:r>
    </w:p>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5.2 Avis du Délégué à la Protection des Données (DPO)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1"/>
              <w:left w:val="single" w:color="2E75B6" w:sz="1"/>
              <w:bottom w:val="single" w:color="2E75B6" w:sz="1"/>
              <w:right w:val="single" w:color="2E75B6" w:sz="1"/>
            </w:tcBorders>
            <w:shd w:fill="EBF3FB" w:val="clear"/>
            <w:tcMar>
              <w:top w:type="dxa" w:w="200"/>
              <w:left w:type="dxa" w:w="200"/>
              <w:bottom w:type="dxa" w:w="200"/>
              <w:right w:type="dxa" w:w="200"/>
            </w:tcMar>
          </w:tcPr>
          <w:p>
            <w:pPr>
              <w:spacing w:after="60" w:before="60"/>
            </w:pPr>
            <w:r>
              <w:rPr>
                <w:rFonts w:ascii="Arial" w:cs="Arial" w:eastAsia="Arial" w:hAnsi="Arial"/>
                <w:b/>
                <w:bCs/>
                <w:sz w:val="22"/>
                <w:szCs w:val="22"/>
              </w:rPr>
              <w:t xml:space="preserve">Avis du DPO :</w:t>
            </w:r>
          </w:p>
          <w:p>
            <w:pPr>
              <w:spacing w:after="60" w:before="60"/>
            </w:pPr>
            <w:r>
              <w:rPr>
                <w:rFonts w:ascii="Arial" w:cs="Arial" w:eastAsia="Arial" w:hAnsi="Arial"/>
                <w:color w:val="7F6000"/>
                <w:sz w:val="22"/>
                <w:szCs w:val="22"/>
              </w:rPr>
              <w:t xml:space="preserve">[À compléter par le DPO]</w:t>
            </w:r>
          </w:p>
          <w:p>
            <w:pPr>
              <w:spacing w:after="0" w:before="0"/>
            </w:pPr>
            <w:r>
              <w:rPr>
                <w:sz w:val="22"/>
                <w:szCs w:val="22"/>
              </w:rPr>
              <w:t xml:space="preserve"/>
            </w:r>
          </w:p>
          <w:p>
            <w:pPr>
              <w:spacing w:after="0" w:before="0"/>
            </w:pPr>
            <w:r>
              <w:rPr>
                <w:sz w:val="22"/>
                <w:szCs w:val="22"/>
              </w:rPr>
              <w:t xml:space="preserve"/>
            </w:r>
          </w:p>
          <w:p>
            <w:pPr>
              <w:spacing w:after="60" w:before="60"/>
            </w:pPr>
            <w:r>
              <w:rPr>
                <w:rFonts w:ascii="Arial" w:cs="Arial" w:eastAsia="Arial" w:hAnsi="Arial"/>
                <w:sz w:val="22"/>
                <w:szCs w:val="22"/>
              </w:rPr>
              <w:t xml:space="preserve">Nom du DPO : ......................................................................</w:t>
            </w:r>
          </w:p>
          <w:p>
            <w:pPr>
              <w:spacing w:after="60" w:before="60"/>
            </w:pPr>
            <w:r>
              <w:rPr>
                <w:rFonts w:ascii="Arial" w:cs="Arial" w:eastAsia="Arial" w:hAnsi="Arial"/>
                <w:sz w:val="22"/>
                <w:szCs w:val="22"/>
              </w:rPr>
              <w:t xml:space="preserve">Date : .....................................</w:t>
            </w:r>
          </w:p>
        </w:tc>
      </w:tr>
    </w:tbl>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5.3 Décision du Responsable du 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8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 de décision</w:t>
            </w:r>
          </w:p>
        </w:tc>
      </w:tr>
      <w:tr>
        <w:tc>
          <w:tcPr>
            <w:tcW w:type="dxa" w:w="80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200"/>
            </w:tcMa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b/>
                <w:bCs/>
                <w:sz w:val="22"/>
                <w:szCs w:val="22"/>
              </w:rPr>
              <w:t xml:space="preserve">Option 1 — Traitement autorisé </w:t>
            </w:r>
            <w:r>
              <w:rPr>
                <w:rFonts w:ascii="Arial" w:cs="Arial" w:eastAsia="Arial" w:hAnsi="Arial"/>
                <w:sz w:val="22"/>
                <w:szCs w:val="22"/>
              </w:rPr>
              <w:t xml:space="preserve">(risques résiduels considérés comme acceptables sans mesures complémentaires)</w:t>
            </w:r>
          </w:p>
        </w:tc>
      </w:tr>
      <w:tr>
        <w:tc>
          <w:tcPr>
            <w:tcW w:type="dxa" w:w="80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pPr>
              <w:jc w:val="center"/>
            </w:pPr>
            <w:r>
              <w:rPr>
                <w:rFonts w:ascii="Arial" w:cs="Arial" w:eastAsia="Arial" w:hAnsi="Arial"/>
                <w:b/>
                <w:bCs/>
                <w:color w:val="70AD47"/>
                <w:sz w:val="28"/>
                <w:szCs w:val="28"/>
              </w:rPr>
              <w:t xml:space="preserve">☑</w:t>
            </w:r>
          </w:p>
        </w:tc>
        <w:tc>
          <w:tcPr>
            <w:tcW w:type="dxa" w:w="8226"/>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r>
              <w:rPr>
                <w:rFonts w:ascii="Arial" w:cs="Arial" w:eastAsia="Arial" w:hAnsi="Arial"/>
                <w:b/>
                <w:bCs/>
                <w:color w:val="7F6000"/>
                <w:sz w:val="22"/>
                <w:szCs w:val="22"/>
              </w:rPr>
              <w:t xml:space="preserve">Option 2 — Traitement autorisé sous réserve </w:t>
            </w:r>
            <w:r>
              <w:rPr>
                <w:rFonts w:ascii="Arial" w:cs="Arial" w:eastAsia="Arial" w:hAnsi="Arial"/>
                <w:color w:val="7F6000"/>
                <w:sz w:val="22"/>
                <w:szCs w:val="22"/>
              </w:rPr>
              <w:t xml:space="preserve">(mesures complémentaires requises — voir plan d’action §5.4)</w:t>
            </w:r>
          </w:p>
        </w:tc>
      </w:tr>
      <w:tr>
        <w:tc>
          <w:tcPr>
            <w:tcW w:type="dxa" w:w="80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jc w:val="center"/>
            </w:pPr>
            <w:r>
              <w:rPr>
                <w:rFonts w:ascii="Arial" w:cs="Arial" w:eastAsia="Arial" w:hAnsi="Arial"/>
                <w:sz w:val="28"/>
                <w:szCs w:val="28"/>
              </w:rPr>
              <w:t xml:space="preserve">☐</w:t>
            </w:r>
          </w:p>
        </w:tc>
        <w:tc>
          <w:tcPr>
            <w:tcW w:type="dxa" w:w="8226"/>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b/>
                <w:bCs/>
                <w:sz w:val="22"/>
                <w:szCs w:val="22"/>
              </w:rPr>
              <w:t xml:space="preserve">Option 3 — Consultation préalable de la CNIL requise </w:t>
            </w:r>
            <w:r>
              <w:rPr>
                <w:rFonts w:ascii="Arial" w:cs="Arial" w:eastAsia="Arial" w:hAnsi="Arial"/>
                <w:sz w:val="22"/>
                <w:szCs w:val="22"/>
              </w:rPr>
              <w:t xml:space="preserve">(risque résiduel élevé ne pouvant être traité en interne)</w:t>
            </w:r>
          </w:p>
        </w:tc>
      </w:tr>
    </w:tbl>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5.4 Plan d’action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226"/>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2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Signer le DPA avec le(s) fournisseur(s) 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DPO / Juridique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définir]</w:t>
            </w:r>
          </w:p>
        </w:tc>
        <w:tc>
          <w:tcPr>
            <w:tcW w:type="dxa" w:w="22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En cours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Réaliser le Transfer Impact Assessment (TIA) pour les USA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DPO</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définir]</w:t>
            </w:r>
          </w:p>
        </w:tc>
        <w:tc>
          <w:tcPr>
            <w:tcW w:type="dxa" w:w="22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À faire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Mettre à jour la politique de confidentialité interne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DPO / Communication</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définir]</w:t>
            </w:r>
          </w:p>
        </w:tc>
        <w:tc>
          <w:tcPr>
            <w:tcW w:type="dxa" w:w="22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À faire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Mettre en place le MFA sur l’application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DSI</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définir]</w:t>
            </w:r>
          </w:p>
        </w:tc>
        <w:tc>
          <w:tcPr>
            <w:tcW w:type="dxa" w:w="22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À faire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Former les administrateurs de l’application (RGPD + sécurité)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RH / DSI</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définir]</w:t>
            </w:r>
          </w:p>
        </w:tc>
        <w:tc>
          <w:tcPr>
            <w:tcW w:type="dxa" w:w="22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À faire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Procéder à la première revue des droits d’accès (6 mois)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DSI / DPO</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définir]</w:t>
            </w:r>
          </w:p>
        </w:tc>
        <w:tc>
          <w:tcPr>
            <w:tcW w:type="dxa" w:w="22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À planifier</w:t>
            </w:r>
          </w:p>
        </w:tc>
      </w:tr>
    </w:tbl>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5.5 Validation et 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Auteur du PIA</w:t>
            </w:r>
          </w:p>
        </w:tc>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compléter]</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compléter]</w:t>
            </w:r>
          </w:p>
        </w:tc>
        <w:tc>
          <w:tcPr>
            <w:tcW w:type="dxa" w:w="25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Délégué à la Protection des Données (DPO)</w:t>
            </w:r>
          </w:p>
        </w:tc>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compléter]</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compléter]</w:t>
            </w:r>
          </w:p>
        </w:tc>
        <w:tc>
          <w:tcPr>
            <w:tcW w:type="dxa" w:w="25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Responsable du traitement</w:t>
            </w:r>
          </w:p>
        </w:tc>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compléter]</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compléter]</w:t>
            </w:r>
          </w:p>
        </w:tc>
        <w:tc>
          <w:tcPr>
            <w:tcW w:type="dxa" w:w="25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
            </w:r>
          </w:p>
        </w:tc>
      </w:tr>
    </w:tbl>
    <w:p>
      <w:r>
        <w:br w:type="page"/>
      </w:r>
    </w:p>
    <w:p>
      <w:pPr>
        <w:pStyle w:val="Heading1"/>
        <w:spacing w:after="120" w:before="240"/>
      </w:pPr>
      <w:r>
        <w:rPr>
          <w:rFonts w:ascii="Arial" w:cs="Arial" w:eastAsia="Arial" w:hAnsi="Arial"/>
          <w:b/>
          <w:bCs/>
          <w:color w:val="1F4E79"/>
          <w:sz w:val="28"/>
          <w:szCs w:val="28"/>
        </w:rPr>
        <w:t xml:space="preserve">ANNEXES</w:t>
      </w:r>
    </w:p>
    <w:p>
      <w:pPr>
        <w:pStyle w:val="Heading2"/>
        <w:spacing w:after="80" w:before="200"/>
      </w:pPr>
      <w:r>
        <w:rPr>
          <w:rFonts w:ascii="Arial" w:cs="Arial" w:eastAsia="Arial" w:hAnsi="Arial"/>
          <w:b/>
          <w:bCs/>
          <w:color w:val="2E75B6"/>
          <w:sz w:val="24"/>
          <w:szCs w:val="24"/>
        </w:rPr>
        <w:t xml:space="preserve">Annexe A — Extrait du Registre des activités de traitement (Art. 30 RGPD)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Nom du traitement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Gestion des accès et connexions aux outils d’IA</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Référence registre</w:t>
            </w:r>
          </w:p>
        </w:tc>
        <w:tc>
          <w:tcPr>
            <w:tcW w:type="dxa" w:w="65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compléter]</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Responsable du traitement</w:t>
            </w:r>
          </w:p>
        </w:tc>
        <w:tc>
          <w:tcPr>
            <w:tcW w:type="dxa" w:w="65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[Nom de l’organisation]</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DPO</w:t>
            </w:r>
          </w:p>
        </w:tc>
        <w:tc>
          <w:tcPr>
            <w:tcW w:type="dxa" w:w="65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compléter]</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Base légale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Intérêt légitime — Article 6(1)(f) RGPD</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Catégories de données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Identité (nom, prénom, email), logs de connexion</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Personnes concernées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Salariés, agents internes, prestataires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Sous-traitants</w:t>
            </w:r>
          </w:p>
        </w:tc>
        <w:tc>
          <w:tcPr>
            <w:tcW w:type="dxa" w:w="65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compléter : fournisseur IA, hébergeur]</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Transferts hors UE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Oui — USA — SCCs 2021 (C2P)</w:t>
            </w:r>
          </w:p>
        </w:tc>
      </w:tr>
    </w:tbl>
    <w:p>
      <w:pPr>
        <w:spacing w:after="0" w:before="0"/>
      </w:pPr>
      <w:r>
        <w:rPr>
          <w:sz w:val="22"/>
          <w:szCs w:val="22"/>
        </w:rPr>
        <w:t xml:space="preserve"/>
      </w:r>
    </w:p>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Annexe B — Liste des sous-traitants et DPA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600"/>
        <w:gridCol w:w="1326"/>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Sous-traitant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fourni</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Pays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DPA signé ?</w:t>
            </w:r>
          </w:p>
        </w:tc>
        <w:tc>
          <w:tcPr>
            <w:tcW w:type="dxa" w:w="13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SCCs ?</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[Nom fournisseur 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d’IA (LLM,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États-Unis</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signer</w:t>
            </w:r>
          </w:p>
        </w:tc>
        <w:tc>
          <w:tcPr>
            <w:tcW w:type="dxa" w:w="13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Module C2P</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[Nom hébergeur cloud]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Hébergement infrastructure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préciser]</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vérifier</w:t>
            </w:r>
          </w:p>
        </w:tc>
        <w:tc>
          <w:tcPr>
            <w:tcW w:type="dxa" w:w="13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20"/>
                <w:szCs w:val="20"/>
              </w:rPr>
              <w:t xml:space="preserve">À vérifier</w:t>
            </w:r>
          </w:p>
        </w:tc>
      </w:tr>
    </w:tbl>
    <w:p>
      <w:pPr>
        <w:spacing w:after="0" w:before="0"/>
      </w:pPr>
      <w:r>
        <w:rPr>
          <w:sz w:val="22"/>
          <w:szCs w:val="22"/>
        </w:rPr>
        <w:t xml:space="preserve"/>
      </w:r>
    </w:p>
    <w:p>
      <w:pPr>
        <w:spacing w:after="0" w:before="0"/>
      </w:pPr>
      <w:r>
        <w:rPr>
          <w:sz w:val="22"/>
          <w:szCs w:val="22"/>
        </w:rPr>
        <w:t xml:space="preserve"/>
      </w:r>
    </w:p>
    <w:p>
      <w:pPr>
        <w:pStyle w:val="Heading2"/>
        <w:spacing w:after="80" w:before="200"/>
      </w:pPr>
      <w:r>
        <w:rPr>
          <w:rFonts w:ascii="Arial" w:cs="Arial" w:eastAsia="Arial" w:hAnsi="Arial"/>
          <w:b/>
          <w:bCs/>
          <w:color w:val="2E75B6"/>
          <w:sz w:val="24"/>
          <w:szCs w:val="24"/>
        </w:rPr>
        <w:t xml:space="preserve">Annexe C — Références réglementaires</w:t>
      </w:r>
    </w:p>
    <w:p>
      <w:pPr>
        <w:pStyle w:val="ListParagraph"/>
        <w:numPr>
          <w:ilvl w:val="0"/>
          <w:numId w:val="2"/>
        </w:numPr>
        <w:spacing w:after="40" w:before="40"/>
      </w:pPr>
      <w:r>
        <w:rPr>
          <w:rFonts w:ascii="Arial" w:cs="Arial" w:eastAsia="Arial" w:hAnsi="Arial"/>
          <w:sz w:val="20"/>
          <w:szCs w:val="20"/>
        </w:rPr>
        <w:t xml:space="preserve">Règlement (UE) 2016/679 du Parlement européen (RGPD) — art. 5, 6, 13, 24, 28, 30, 32, 33, 35</w:t>
      </w:r>
    </w:p>
    <w:p>
      <w:pPr>
        <w:pStyle w:val="ListParagraph"/>
        <w:numPr>
          <w:ilvl w:val="0"/>
          <w:numId w:val="2"/>
        </w:numPr>
        <w:spacing w:after="40" w:before="40"/>
      </w:pPr>
      <w:r>
        <w:rPr>
          <w:rFonts w:ascii="Arial" w:cs="Arial" w:eastAsia="Arial" w:hAnsi="Arial"/>
          <w:sz w:val="20"/>
          <w:szCs w:val="20"/>
        </w:rPr>
        <w:t xml:space="preserve">Lignes directrices WP248 du CEPD sur l’AIPD (révisé en 2017) — méthodologie en 4 étapes</w:t>
      </w:r>
    </w:p>
    <w:p>
      <w:pPr>
        <w:pStyle w:val="ListParagraph"/>
        <w:numPr>
          <w:ilvl w:val="0"/>
          <w:numId w:val="2"/>
        </w:numPr>
        <w:spacing w:after="40" w:before="40"/>
      </w:pPr>
      <w:r>
        <w:rPr>
          <w:rFonts w:ascii="Arial" w:cs="Arial" w:eastAsia="Arial" w:hAnsi="Arial"/>
          <w:sz w:val="20"/>
          <w:szCs w:val="20"/>
        </w:rPr>
        <w:t xml:space="preserve">Recommandation CNIL n°2006-066 sur la conservation des logs de connexion</w:t>
      </w:r>
    </w:p>
    <w:p>
      <w:pPr>
        <w:pStyle w:val="ListParagraph"/>
        <w:numPr>
          <w:ilvl w:val="0"/>
          <w:numId w:val="2"/>
        </w:numPr>
        <w:spacing w:after="40" w:before="40"/>
      </w:pPr>
      <w:r>
        <w:rPr>
          <w:rFonts w:ascii="Arial" w:cs="Arial" w:eastAsia="Arial" w:hAnsi="Arial"/>
          <w:sz w:val="20"/>
          <w:szCs w:val="20"/>
        </w:rPr>
        <w:t xml:space="preserve">Décision d’exécution (UE) 2021/914 de la Commission européenne — Clauses Contractuelles Types (SCCs, juin 2021)</w:t>
      </w:r>
    </w:p>
    <w:p>
      <w:pPr>
        <w:pStyle w:val="ListParagraph"/>
        <w:numPr>
          <w:ilvl w:val="0"/>
          <w:numId w:val="2"/>
        </w:numPr>
        <w:spacing w:after="40" w:before="40"/>
      </w:pPr>
      <w:r>
        <w:rPr>
          <w:rFonts w:ascii="Arial" w:cs="Arial" w:eastAsia="Arial" w:hAnsi="Arial"/>
          <w:sz w:val="20"/>
          <w:szCs w:val="20"/>
        </w:rPr>
        <w:t xml:space="preserve">Lignes directrices 01/2020 du CEPD sur les Clauses Contractuelles Types</w:t>
      </w:r>
    </w:p>
    <w:p>
      <w:pPr>
        <w:pStyle w:val="ListParagraph"/>
        <w:numPr>
          <w:ilvl w:val="0"/>
          <w:numId w:val="2"/>
        </w:numPr>
        <w:spacing w:after="40" w:before="40"/>
      </w:pPr>
      <w:r>
        <w:rPr>
          <w:rFonts w:ascii="Arial" w:cs="Arial" w:eastAsia="Arial" w:hAnsi="Arial"/>
          <w:sz w:val="20"/>
          <w:szCs w:val="20"/>
        </w:rPr>
        <w:t xml:space="preserve">Recommandation 01/2020 du CEPD sur les mesures qui complètent les SCCs (Transfer Impact Assessment)</w:t>
      </w:r>
    </w:p>
    <w:p>
      <w:pPr>
        <w:pStyle w:val="ListParagraph"/>
        <w:numPr>
          <w:ilvl w:val="0"/>
          <w:numId w:val="2"/>
        </w:numPr>
        <w:spacing w:after="40" w:before="40"/>
      </w:pPr>
      <w:r>
        <w:rPr>
          <w:rFonts w:ascii="Arial" w:cs="Arial" w:eastAsia="Arial" w:hAnsi="Arial"/>
          <w:sz w:val="20"/>
          <w:szCs w:val="20"/>
        </w:rPr>
        <w:t xml:space="preserve">Méthodologie CNIL AIPD — Guide de la CNIL sur la réalisation d’une AIPD (2018, mis à jour)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pBdr>
      <w:spacing w:after="0" w:before="12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sur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[Nom de l’organisation]  |  Mars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pBdr>
      <w:spacing w:after="120" w:before="0"/>
    </w:pPr>
    <w:r>
      <w:rPr>
        <w:rFonts w:ascii="Arial" w:cs="Arial" w:eastAsia="Arial" w:hAnsi="Arial"/>
        <w:color w:val="595959"/>
        <w:sz w:val="18"/>
        <w:szCs w:val="18"/>
      </w:rPr>
      <w:t xml:space="preserve">AIPD — Gestion des accès aux outils IA | PIA-IA-2026-001</w:t>
    </w:r>
    <w:r>
      <w:rPr>
        <w:rFonts w:ascii="Arial" w:cs="Arial" w:eastAsia="Arial" w:hAnsi="Arial"/>
        <w:b/>
        <w:bCs/>
        <w:color w:val="C00000"/>
        <w:sz w:val="18"/>
        <w:szCs w:val="18"/>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2026-03-06T15:12:13.439Z</dcterms:created>
  <dcterms:modified xsi:type="dcterms:W3CDTF">2026-03-06T15:12:13.468Z</dcterms:modified>
</cp:coreProperties>
</file>

<file path=docProps/custom.xml><?xml version="1.0" encoding="utf-8"?>
<Properties xmlns="http://schemas.openxmlformats.org/officeDocument/2006/custom-properties" xmlns:vt="http://schemas.openxmlformats.org/officeDocument/2006/docPropsVTypes"/>
</file>