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56"/>
        </w:rPr>
        <w:t>Simulador Financiero</w:t>
      </w:r>
    </w:p>
    <w:p>
      <w:pPr>
        <w:jc w:val="center"/>
      </w:pPr>
      <w:r>
        <w:rPr>
          <w:b/>
          <w:color w:val="1F3A5F"/>
          <w:sz w:val="40"/>
        </w:rPr>
        <w:t>Diseño de Base de Datos</w:t>
      </w:r>
    </w:p>
    <w:p/>
    <w:p>
      <w:pPr>
        <w:jc w:val="center"/>
      </w:pPr>
      <w:r>
        <w:rPr>
          <w:i/>
          <w:sz w:val="24"/>
        </w:rPr>
        <w:t>Proyecto Final · Simulador de estrategias de inversión basado en perfiles de riesgo y simulación probabilística de instrumentos financieros</w:t>
      </w:r>
    </w:p>
    <w:p/>
    <w:p/>
    <w:p>
      <w:pPr>
        <w:jc w:val="center"/>
      </w:pPr>
      <w:r>
        <w:rPr>
          <w:b/>
        </w:rPr>
        <w:t xml:space="preserve">Autor: </w:t>
      </w:r>
      <w:r>
        <w:t>Sofía Rodríguez del Busto</w:t>
        <w:br/>
      </w:r>
      <w:r>
        <w:rPr>
          <w:b/>
        </w:rPr>
        <w:t xml:space="preserve">Motor: </w:t>
      </w:r>
      <w:r>
        <w:t>PostgreSQL 15+</w:t>
        <w:br/>
      </w:r>
      <w:r>
        <w:rPr>
          <w:b/>
        </w:rPr>
        <w:t xml:space="preserve">Convención: </w:t>
      </w:r>
      <w:r>
        <w:t>español, snake_case</w:t>
        <w:br/>
      </w:r>
      <w:r>
        <w:rPr>
          <w:b/>
        </w:rPr>
        <w:t xml:space="preserve">Fecha: </w:t>
      </w:r>
      <w:r>
        <w:t>Abril 2026</w:t>
      </w:r>
    </w:p>
    <w:p>
      <w:r>
        <w:br w:type="page"/>
      </w:r>
    </w:p>
    <w:p>
      <w:pPr>
        <w:pStyle w:val="Heading1"/>
      </w:pPr>
      <w:r>
        <w:rPr>
          <w:color w:val="1F3A5F"/>
        </w:rPr>
        <w:t>1. Enfoque general</w:t>
      </w:r>
    </w:p>
    <w:p>
      <w:r>
        <w:rPr>
          <w:b w:val="0"/>
          <w:i w:val="0"/>
          <w:sz w:val="22"/>
        </w:rPr>
        <w:t>El diseño parte de la estructura inicial propuesta (usuario → portfolios → instrumentos) y la extiende con los requisitos del documento de propuesta: catálogos de instrumentos alimentados por APIs, parámetros del modelo de movimiento browniano geométrico (GBM), índices de mercado, escenarios económicos, inflación como variable macroeconómica y persistencia completa de las simulaciones Monte Carlo.</w:t>
      </w:r>
    </w:p>
    <w:p>
      <w:r>
        <w:rPr>
          <w:b w:val="0"/>
          <w:i w:val="0"/>
          <w:sz w:val="22"/>
        </w:rPr>
        <w:t>El modelo de datos se organiza en siete bloques funcionales:</w:t>
      </w:r>
    </w:p>
    <w:p>
      <w:pPr>
        <w:pStyle w:val="ListBullet"/>
      </w:pPr>
      <w:r>
        <w:t>Usuarios y perfiles: autenticación y clasificación por tolerancia al riesgo.</w:t>
      </w:r>
    </w:p>
    <w:p>
      <w:pPr>
        <w:pStyle w:val="ListBullet"/>
      </w:pPr>
      <w:r>
        <w:t>Referencia: monedas, tipos de cambio e índices de mercado.</w:t>
      </w:r>
    </w:p>
    <w:p>
      <w:pPr>
        <w:pStyle w:val="ListBullet"/>
      </w:pPr>
      <w:r>
        <w:t>Catálogo de instrumentos: acciones, bonos, letras y plazos fijos con datos de APIs.</w:t>
      </w:r>
    </w:p>
    <w:p>
      <w:pPr>
        <w:pStyle w:val="ListBullet"/>
      </w:pPr>
      <w:r>
        <w:t>Portfolios y tenencias: composición de cada estrategia.</w:t>
      </w:r>
    </w:p>
    <w:p>
      <w:pPr>
        <w:pStyle w:val="ListBullet"/>
      </w:pPr>
      <w:r>
        <w:t>Escenarios y datos macro: parámetros para la simulación Monte Carlo estratificada.</w:t>
      </w:r>
    </w:p>
    <w:p>
      <w:pPr>
        <w:pStyle w:val="ListBullet"/>
      </w:pPr>
      <w:r>
        <w:t>Simulaciones: corridas, trayectorias y métricas resultantes.</w:t>
      </w:r>
    </w:p>
    <w:p>
      <w:pPr>
        <w:pStyle w:val="ListBullet"/>
      </w:pPr>
      <w:r>
        <w:t>Seguridad: sesiones de usuario.</w:t>
      </w:r>
    </w:p>
    <w:p>
      <w:pPr>
        <w:pStyle w:val="Heading1"/>
      </w:pPr>
      <w:r>
        <w:rPr>
          <w:color w:val="1F3A5F"/>
        </w:rPr>
        <w:t>2. Diagrama Entidad-Relación (resumen)</w:t>
      </w:r>
    </w:p>
    <w:p>
      <w:r>
        <w:rPr>
          <w:b w:val="0"/>
          <w:i w:val="0"/>
          <w:sz w:val="22"/>
        </w:rPr>
        <w:t>A continuación se presenta una vista esquemática de las principales entidades y sus relaciones:</w:t>
      </w:r>
    </w:p>
    <w:p>
      <w:r>
        <w:rPr>
          <w:rFonts w:ascii="Consolas" w:hAnsi="Consolas"/>
          <w:sz w:val="18"/>
        </w:rPr>
        <w:t xml:space="preserve">                         ┌──────────────┐</w:t>
        <w:br/>
        <w:t xml:space="preserve">                         │   usuario    │</w:t>
        <w:br/>
        <w:t xml:space="preserve">                         └──────┬───────┘</w:t>
        <w:br/>
        <w:t xml:space="preserve">                                │ 1</w:t>
        <w:br/>
        <w:t xml:space="preserve">                                │</w:t>
        <w:br/>
        <w:t xml:space="preserve">                                │ N</w:t>
        <w:br/>
        <w:t xml:space="preserve">                   ┌────────────┴────────────┐            ┌────────────────┐</w:t>
        <w:br/>
        <w:t xml:space="preserve">                   │        portfolio        │◄──────────►│  perfil_riesgo │</w:t>
        <w:br/>
        <w:t xml:space="preserve">                   └──┬────┬────┬────┬───────┘ N       1  └────────────────┘</w:t>
        <w:br/>
        <w:t xml:space="preserve">                      │    │    │    │</w:t>
        <w:br/>
        <w:t xml:space="preserve">                N:M ──┘    │    │    └── N:M</w:t>
        <w:br/>
        <w:t xml:space="preserve">              portfolio_   │    │      portfolio_</w:t>
        <w:br/>
        <w:t xml:space="preserve">              accion       │    │      plazo_fijo</w:t>
        <w:br/>
        <w:t xml:space="preserve">                           │    │</w:t>
        <w:br/>
        <w:t xml:space="preserve">                     N:M ──┘    └── N:M</w:t>
        <w:br/>
        <w:t xml:space="preserve">                   portfolio_     portfolio_</w:t>
        <w:br/>
        <w:t xml:space="preserve">                   bono           letra</w:t>
        <w:br/>
        <w:br/>
        <w:t xml:space="preserve">  Catálogo de instrumentos (alimentado desde APIs):</w:t>
        <w:br/>
        <w:t xml:space="preserve">   ┌──────────┐   ┌─────────────────┐   ┌──────────┐   ┌─────────┐   ┌────────────────────┐</w:t>
        <w:br/>
        <w:t xml:space="preserve">   │  accion  │──►│ precio_historico│   │   bono   │──►│  flujo  │   │ plazo_fijo_producto│</w:t>
        <w:br/>
        <w:t xml:space="preserve">   └─────┬────┘   │     _accion     │   └────┬─────┘   │  _bono  │   └────────────────────┘</w:t>
        <w:br/>
        <w:t xml:space="preserve">         │        └─────────────────┘        │         └─────────┘          ┌────────┐</w:t>
        <w:br/>
        <w:t xml:space="preserve">         ▼                                    ▼                              │  letra │</w:t>
        <w:br/>
        <w:t xml:space="preserve">   ┌────────────────┐                   ┌──────────┐                         └────────┘</w:t>
        <w:br/>
        <w:t xml:space="preserve">   │ indice_mercado │                   │ tipo_bono│</w:t>
        <w:br/>
        <w:t xml:space="preserve">   └────────────────┘                   └──────────┘</w:t>
        <w:br/>
        <w:br/>
        <w:t xml:space="preserve">  Motor de simulación:</w:t>
        <w:br/>
        <w:t xml:space="preserve">   ┌────────────┐ 1      N ┌───────────┐ 1     N ┌──────────────────┐</w:t>
        <w:br/>
        <w:t xml:space="preserve">   │ simulacion │──────────►│trayectoria│────────►│ trayectoria_paso │</w:t>
        <w:br/>
        <w:t xml:space="preserve">   └──────┬─────┘           └──────┬────┘          └──────────────────┘</w:t>
        <w:br/>
        <w:t xml:space="preserve">          │                        │</w:t>
        <w:br/>
        <w:t xml:space="preserve">          │ N                      │ N</w:t>
        <w:br/>
        <w:t xml:space="preserve">          ▼                        ▼</w:t>
        <w:br/>
        <w:t xml:space="preserve">   ┌───────────────┐          ┌─────────────────────────────┐</w:t>
        <w:br/>
        <w:t xml:space="preserve">   │   metrica_    │          │ trayectoria_instrumento_paso│</w:t>
        <w:br/>
        <w:t xml:space="preserve">   │  simulacion   │          └─────────────────────────────┘</w:t>
        <w:br/>
        <w:t xml:space="preserve">   └───────────────┘</w:t>
      </w:r>
    </w:p>
    <w:p>
      <w:pPr>
        <w:pStyle w:val="Heading1"/>
      </w:pPr>
      <w:r>
        <w:rPr>
          <w:color w:val="1F3A5F"/>
        </w:rPr>
        <w:t>3. Detalle de tablas por bloque</w:t>
      </w:r>
    </w:p>
    <w:p>
      <w:pPr>
        <w:pStyle w:val="Heading2"/>
      </w:pPr>
      <w:r>
        <w:rPr>
          <w:color w:val="1F3A5F"/>
        </w:rPr>
        <w:t>3.1 Dominio de usuarios y perfiles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Tabla</w:t>
            </w:r>
          </w:p>
        </w:tc>
        <w:tc>
          <w:tcPr>
            <w:tcW w:type="dxa" w:w="652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usuario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Cuentas registradas. password_hash (bcrypt/argon2). Nunca se almacena la clave en claro.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perfil_riesgo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Catálogo CONSERVADOR / MODERADO / AGRESIVO. Incluye tolerancias numéricas (pct_renta_variable_max, volatilidad_max_anual) para validar la composición de portfolios.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perfil_instrumento_permitido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Matriz perfil × tipo de instrumento con el porcentaje máximo. Permite externalizar las reglas de composición sin tocar código.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sesion_usuario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Sesiones o tokens activos. Útil para revocación explícita cuando se trabaja con JWT.</w:t>
            </w:r>
          </w:p>
        </w:tc>
      </w:tr>
    </w:tbl>
    <w:p>
      <w:pPr>
        <w:pStyle w:val="Heading2"/>
      </w:pPr>
      <w:r>
        <w:rPr>
          <w:color w:val="1F3A5F"/>
        </w:rPr>
        <w:t>3.2 Referencia: monedas e índices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Tabla</w:t>
            </w:r>
          </w:p>
        </w:tc>
        <w:tc>
          <w:tcPr>
            <w:tcW w:type="dxa" w:w="652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moneda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ARS y USD (extensible). Se asocia a cada instrumento y al portfolio.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tipo_cambio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Cotizaciones históricas entre monedas (USD → ARS, etc.) para reexpresar tenencias en la moneda base del portfolio.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indice_mercado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MERVAL (ARS) y S&amp;P 500 (USD). Referencia obligatoria para cada acción: el documento exige que el índice coincida con el mercado del activo (sección 4.2.1.2).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precio_historico_indice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Series históricas de cada índice. Fuente del cálculo de la correlación ρ acción–índice.</w:t>
            </w:r>
          </w:p>
        </w:tc>
      </w:tr>
    </w:tbl>
    <w:p>
      <w:pPr>
        <w:pStyle w:val="Heading2"/>
      </w:pPr>
      <w:r>
        <w:rPr>
          <w:color w:val="1F3A5F"/>
        </w:rPr>
        <w:t>3.3 Catálogo de instrumentos</w:t>
      </w:r>
    </w:p>
    <w:p>
      <w:r>
        <w:rPr>
          <w:b w:val="0"/>
          <w:i w:val="0"/>
          <w:sz w:val="22"/>
        </w:rPr>
        <w:t>Cada familia de instrumento tiene una tabla maestro (datos que provienen de APIs financieras) y, cuando aplica, tablas hijas para series históricas o flujos de fondos.</w:t>
      </w:r>
    </w:p>
    <w:p>
      <w:pPr>
        <w:pStyle w:val="Heading3"/>
      </w:pPr>
      <w:r>
        <w:rPr>
          <w:color w:val="1F3A5F"/>
        </w:rPr>
        <w:t>3.3.1 Acciones (§ 4.2.1)</w:t>
      </w:r>
    </w:p>
    <w:p>
      <w:pPr>
        <w:pStyle w:val="ListBullet"/>
      </w:pPr>
      <w:r>
        <w:t>accion: ticker, sector, índice de mercado asociado, precio actual y parámetros del modelo GBM estimados a partir de retornos logarítmicos históricos: μ (retorno esperado), σ (volatilidad) y ρ (correlación con el índice). Los parámetros se persisten para evitar recalcularlos en cada simulación; se refrescan con un job periódico.</w:t>
      </w:r>
    </w:p>
    <w:p>
      <w:pPr>
        <w:pStyle w:val="ListBullet"/>
      </w:pPr>
      <w:r>
        <w:t>precio_historico_accion: serie diaria (apertura, cierre, ajustado, volumen). Fuente del cálculo de μ, σ y ρ.</w:t>
      </w:r>
    </w:p>
    <w:p>
      <w:pPr>
        <w:pStyle w:val="Heading3"/>
      </w:pPr>
      <w:r>
        <w:rPr>
          <w:color w:val="1F3A5F"/>
        </w:rPr>
        <w:t>3.3.2 Bonos (§ 4.2.2)</w:t>
      </w:r>
    </w:p>
    <w:p>
      <w:pPr>
        <w:pStyle w:val="ListBullet"/>
      </w:pPr>
      <w:r>
        <w:t>tipo_bono: TASA_FIJA / INDEXADO_INFLACION.</w:t>
      </w:r>
    </w:p>
    <w:p>
      <w:pPr>
        <w:pStyle w:val="ListBullet"/>
      </w:pPr>
      <w:r>
        <w:t>bono: emisor, valor nominal (F), cupón (C), frecuencia, tasa de descuento (r_d), prima de riesgo (componente crediticia), fechas de emisión y vencimiento, precio actual.</w:t>
      </w:r>
    </w:p>
    <w:p>
      <w:pPr>
        <w:pStyle w:val="ListBullet"/>
      </w:pPr>
      <w:r>
        <w:t>flujo_bono: calendario precomputado de cupones y amortizaciones. Acelera la valuación P = Σ C/(1+r_d)^t + F/(1+r_d)^T y el cálculo de V(T).</w:t>
      </w:r>
    </w:p>
    <w:p>
      <w:pPr>
        <w:pStyle w:val="Heading3"/>
      </w:pPr>
      <w:r>
        <w:rPr>
          <w:color w:val="1F3A5F"/>
        </w:rPr>
        <w:t>3.3.3 Letras (§ 4.2.3)</w:t>
      </w:r>
    </w:p>
    <w:p>
      <w:pPr>
        <w:pStyle w:val="ListBullet"/>
      </w:pPr>
      <w:r>
        <w:t>tipo_letra: LECAP / LECER.</w:t>
      </w:r>
    </w:p>
    <w:p>
      <w:pPr>
        <w:pStyle w:val="ListBullet"/>
      </w:pPr>
      <w:r>
        <w:t>letra: valor nominal, tasa, fechas. Al ser cupón cero no requiere tabla de flujos.</w:t>
      </w:r>
    </w:p>
    <w:p>
      <w:pPr>
        <w:pStyle w:val="Heading3"/>
      </w:pPr>
      <w:r>
        <w:rPr>
          <w:color w:val="1F3A5F"/>
        </w:rPr>
        <w:t>3.3.4 Plazos fijos (§ 4.2.4)</w:t>
      </w:r>
    </w:p>
    <w:p>
      <w:pPr>
        <w:pStyle w:val="ListBullet"/>
      </w:pPr>
      <w:r>
        <w:t>tipo_plazo_fijo: TRADICIONAL / UVA.</w:t>
      </w:r>
    </w:p>
    <w:p>
      <w:pPr>
        <w:pStyle w:val="ListBullet"/>
      </w:pPr>
      <w:r>
        <w:t>plazo_fijo_producto: plantilla ofrecida por una entidad (TNA, plazo mín/máx). El monto, la TNA pactada y la duración reales los aporta la tenencia en el portfolio.</w:t>
      </w:r>
    </w:p>
    <w:p>
      <w:pPr>
        <w:pStyle w:val="Heading2"/>
      </w:pPr>
      <w:r>
        <w:rPr>
          <w:color w:val="1F3A5F"/>
        </w:rPr>
        <w:t>3.4 Portfolios y tenencias</w:t>
      </w:r>
    </w:p>
    <w:p>
      <w:r>
        <w:rPr>
          <w:b w:val="0"/>
          <w:i w:val="0"/>
          <w:sz w:val="22"/>
        </w:rPr>
        <w:t>La tabla portfolio pertenece a un usuario, tiene un perfil de riesgo asociado, una moneda base, un capital inicial y un horizonte en meses. Un mismo usuario puede tener múltiples portfolios para comparar estrategias (objetivo explícito de la propuesta, sección 3).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Tabla</w:t>
            </w:r>
          </w:p>
        </w:tc>
        <w:tc>
          <w:tcPr>
            <w:tcW w:type="dxa" w:w="652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portfolio_accion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Relación N:M portfolio ↔ acción. Guarda cantidad, precio de compra y fecha.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portfolio_bono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Relación N:M portfolio ↔ bono. Guarda cantidad, precio de compra y fecha.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portfolio_letra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Relación N:M portfolio ↔ letra. Guarda cantidad, precio de compra y fecha.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portfolio_plazo_fijo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Relación portfolio ↔ producto de plazo fijo. Guarda monto invertido, tna_pactada (congelada al momento de la inversión), duracion_meses y reinvertir_al_vencimiento — necesario para implementar la regla de reinversión total / no reinversión (§ 4.2.4.3).</w:t>
            </w:r>
          </w:p>
        </w:tc>
      </w:tr>
    </w:tbl>
    <w:p>
      <w:r>
        <w:rPr>
          <w:b/>
        </w:rPr>
        <w:t xml:space="preserve">Decisión de diseño. </w:t>
      </w:r>
      <w:r>
        <w:t>Se eligieron cuatro tablas de tenencia en lugar de una única genérica. Ventajas: tipado fuerte, claves foráneas reales hacia cada catálogo y columnas específicas por tipo (por ejemplo, tna_pactada solo aplica a plazos fijos). Desventaja menor: al consultar todas las tenencias hay que recorrer las cuatro; se resuelve con una vista v_portfolio_tenencias.</w:t>
      </w:r>
    </w:p>
    <w:p>
      <w:pPr>
        <w:pStyle w:val="Heading2"/>
      </w:pPr>
      <w:r>
        <w:rPr>
          <w:color w:val="1F3A5F"/>
        </w:rPr>
        <w:t>3.5 Escenarios económicos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Tabla</w:t>
            </w:r>
          </w:p>
        </w:tc>
        <w:tc>
          <w:tcPr>
            <w:tcW w:type="dxa" w:w="652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tipo_escenario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FAVORABLE / MODERADO / DESFAVORABLE.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escenario_economico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Rangos paramétricos de inflación mensual y tasa libre de riesgo, por escenario y moneda. Habilita ajustar los rangos sin modificar código.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inflacion_historica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Inflación mensual observada. Sirve para calibrar los rangos de los escenarios con datos reales (INDEC, BLS).</w:t>
            </w:r>
          </w:p>
        </w:tc>
      </w:tr>
    </w:tbl>
    <w:p>
      <w:pPr>
        <w:pStyle w:val="Heading2"/>
      </w:pPr>
      <w:r>
        <w:rPr>
          <w:color w:val="1F3A5F"/>
        </w:rPr>
        <w:t>3.6 Simulaciones Monte Carlo</w:t>
      </w:r>
    </w:p>
    <w:p>
      <w:r>
        <w:rPr>
          <w:b w:val="0"/>
          <w:i w:val="0"/>
          <w:sz w:val="22"/>
        </w:rPr>
        <w:t>Persistir las simulaciones es una decisión importante: habilita reproducibilidad, comparación histórica entre corridas y análisis posterior sin recalcular.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Tabla</w:t>
            </w:r>
          </w:p>
        </w:tc>
        <w:tc>
          <w:tcPr>
            <w:tcW w:type="dxa" w:w="623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simulacion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Cabecera de una corrida. Guarda horizonte, número de trayectorias, seed_aleatoria y las métricas agregadas (valor esperado, mínimo, máximo, desvío, rendimiento real).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trayectoria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Una realización completa. Asociada a un único tipo de escenario, mantenido durante todo el horizonte (§ 4.3).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trayectoria_paso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Evolución mensual del portfolio: valor, inflación simulada y shock sistemático (z_indice). Fuente para graficar evolución.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trayectoria_instrumento_paso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Opcional. Valor simulado de cada tenencia en cada mes. Permite desagregar contribución por activo.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metrica_simulacion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Métricas extensibles (VaR, Sharpe, Sortino, percentiles), opcionalmente desagregadas por tipo de escenario.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4. Sugerencias agregadas a la propuesta inicial</w:t>
      </w:r>
    </w:p>
    <w:p>
      <w:r>
        <w:rPr>
          <w:b w:val="0"/>
          <w:i w:val="0"/>
          <w:sz w:val="22"/>
        </w:rPr>
        <w:t>Sobre la estructura original (usuario, portfolio, tablas de acciones, bonos, letras y plazos fijos), se incorporaron los siguientes elementos con su justificación: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Sugerencia</w:t>
            </w:r>
          </w:p>
        </w:tc>
        <w:tc>
          <w:tcPr>
            <w:tcW w:type="dxa" w:w="623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Justificación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perfil_riesgo como tabla, no enum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Permite editar descripciones o tolerancias sin migración de esquema. perfil_instrumento_permitido externaliza reglas (por ejemplo, máximo 20% en acciones para el perfil conservador).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moneda y tipo_cambio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El documento diferencia acciones argentinas de estadounidenses y plazos fijos en moneda extranjera. Es necesario un mecanismo claro para reexpresar valores en la moneda base del portfolio.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indice_mercado y precio_historico_indice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Imprescindibles para el modelo GBM extendido (§ 4.2.1.2). La correlación ρ se estima contra el índice del mercado correspondiente.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Parámetros μ, σ y ρ persistidos en accion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Evita recalcularlos en cada corrida de Monte Carlo. Se refrescan con un job periódico cuando llegan nuevos datos de la API.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Separación de sub-tipos (tipo_bono, tipo_letra, tipo_plazo_fijo)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Tablas catálogo para tasa fija, indexado por inflación, LECAP, LECER, tradicional, UVA. Mejor que CHECK constraints: extensible y autodocumentado.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flujo_bono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Persistir el calendario de cupones y amortizaciones simplifica la valuación y el cálculo de V(T) en el horizonte.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plazo_fijo_producto vs portfolio_plazo_fijo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Separar la plantilla del producto (entidad, TNA ofrecida) de la tenencia concreta (monto, TNA pactada congelada, duración, reinvertir) refleja fielmente la lógica de la sección 4.2.4.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Modelo completo de simulaciones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La jerarquía simulacion → trayectoria → trayectoria_paso permite: comparar simulaciones pasadas con nuevas, reproducir resultados mediante seed_aleatoria, graficar evolución mensual sin recalcular y desagregar métricas por escenario.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escenario_economico paramétrico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Los rangos de inflación por escenario residen en la base de datos, no en código. Facilita análisis de sensibilidad.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inflacion_historica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Permite justificar los rangos de los escenarios con datos observados.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metrica_simulacion extensible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Agregar VaR, CVaR, Sharpe o percentiles no requiere alterar el esquema; se suman filas.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sesion_usuario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Habilita revocación explícita de sesiones cuando se trabaja con JWT en .NET.</w:t>
            </w:r>
          </w:p>
        </w:tc>
      </w:tr>
    </w:tbl>
    <w:p>
      <w:pPr>
        <w:pStyle w:val="Heading1"/>
      </w:pPr>
      <w:r>
        <w:rPr>
          <w:color w:val="1F3A5F"/>
        </w:rPr>
        <w:t>5. Validaciones y reglas de negocio recomendadas</w:t>
      </w:r>
    </w:p>
    <w:p>
      <w:r>
        <w:rPr>
          <w:b w:val="0"/>
          <w:i w:val="0"/>
          <w:sz w:val="22"/>
        </w:rPr>
        <w:t>Estas reglas pueden implementarse en la capa de servicios (.NET) o como triggers en PostgreSQL:</w:t>
      </w:r>
    </w:p>
    <w:p>
      <w:pPr>
        <w:pStyle w:val="ListBullet"/>
      </w:pPr>
      <w:r>
        <w:t>Coherencia perfil ↔ composición: al cerrar un portfolio, verificar contra perfil_instrumento_permitido que ningún tipo supere su pct_maximo.</w:t>
      </w:r>
    </w:p>
    <w:p>
      <w:pPr>
        <w:pStyle w:val="ListBullet"/>
      </w:pPr>
      <w:r>
        <w:t>Coherencia índice ↔ moneda: una acción en ARS debería usar MERVAL; en USD, S&amp;P 500. Validación en aplicación o vía CHECK con subquery.</w:t>
      </w:r>
    </w:p>
    <w:p>
      <w:pPr>
        <w:pStyle w:val="ListBullet"/>
      </w:pPr>
      <w:r>
        <w:t>Horizonte vs. vencimientos: si un bono o letra vence antes del horizonte, el motor sigue la lógica de monto percibido (§§ 4.2.2.3 y 4.2.3.3).</w:t>
      </w:r>
    </w:p>
    <w:p>
      <w:pPr>
        <w:pStyle w:val="ListBullet"/>
      </w:pPr>
      <w:r>
        <w:t>Unicidad de nombres de portfolio por usuario, ya aplicada mediante UNIQUE (id_usuario, nombre).</w:t>
      </w:r>
    </w:p>
    <w:p>
      <w:pPr>
        <w:pStyle w:val="ListBullet"/>
      </w:pPr>
      <w:r>
        <w:t>Seed obligatoria al correr tests deterministas o comparaciones controladas.</w:t>
      </w:r>
    </w:p>
    <w:p>
      <w:pPr>
        <w:pStyle w:val="Heading1"/>
      </w:pPr>
      <w:r>
        <w:rPr>
          <w:color w:val="1F3A5F"/>
        </w:rPr>
        <w:t>6. Índices y rendimiento</w:t>
      </w:r>
    </w:p>
    <w:p>
      <w:r>
        <w:rPr>
          <w:b w:val="0"/>
          <w:i w:val="0"/>
          <w:sz w:val="22"/>
        </w:rPr>
        <w:t>Incluidos en el script DDL:</w:t>
      </w:r>
    </w:p>
    <w:p>
      <w:pPr>
        <w:pStyle w:val="ListBullet"/>
      </w:pPr>
      <w:r>
        <w:t>idx_phi_indice_fecha, idx_pha_accion_fecha: consultas de series históricas por fecha descendente.</w:t>
      </w:r>
    </w:p>
    <w:p>
      <w:pPr>
        <w:pStyle w:val="ListBullet"/>
      </w:pPr>
      <w:r>
        <w:t>idx_portfolio_usuario: listado de portfolios por usuario.</w:t>
      </w:r>
    </w:p>
    <w:p>
      <w:pPr>
        <w:pStyle w:val="ListBullet"/>
      </w:pPr>
      <w:r>
        <w:t>idx_simulacion_portfolio_fecha: historial de simulaciones por portfolio.</w:t>
      </w:r>
    </w:p>
    <w:p>
      <w:pPr>
        <w:pStyle w:val="ListBullet"/>
      </w:pPr>
      <w:r>
        <w:t>idx_trayectoria_simulacion, idx_trayectoria_paso: consulta eficiente de la evolución de una trayectoria.</w:t>
      </w:r>
    </w:p>
    <w:p>
      <w:r>
        <w:rPr>
          <w:b w:val="0"/>
          <w:i/>
          <w:sz w:val="22"/>
        </w:rPr>
        <w:t>Cuando las tablas trayectoria_paso y trayectoria_instrumento_paso superen el orden de 10 millones de filas, se recomienda particionar por id_simulacion mediante RANGE partitioning de PostgreSQL.</w:t>
      </w:r>
    </w:p>
    <w:p>
      <w:pPr>
        <w:pStyle w:val="Heading1"/>
      </w:pPr>
      <w:r>
        <w:rPr>
          <w:color w:val="1F3A5F"/>
        </w:rPr>
        <w:t>7. Correspondencia con el documento de propuesta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819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Requisito del documento</w:t>
            </w:r>
          </w:p>
        </w:tc>
        <w:tc>
          <w:tcPr>
            <w:tcW w:type="dxa" w:w="453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Objeto de base de datos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Usuario con perfiles predefinidos (§ 3)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usuario, perfil_riesgo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Múltiples portfolios por perfil (§ 3, § 4.1)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portfolio (N por usuario)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Acciones con GBM e índice (§ 4.2.1)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accion, indice_mercado, precio_historico_accion, precio_historico_indice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Bonos a tasa fija e indexados (§ 4.2.2)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bono, tipo_bono, flujo_bono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Letras LECAP y LECER (§ 4.2.3)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letra, tipo_letra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Plazos fijos tradicional y UVA con reinversión (§ 4.2.4)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plazo_fijo_producto, portfolio_plazo_fijo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APIs como fuente de datos (§ 4.2.4 final)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Columnas fecha_actualizacion_* y tablas históricas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Monte Carlo estratificado por escenarios (§ 4.3)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tipo_escenario, escenario_economico, trayectoria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Inflación como variable macro (§ 4.3)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inflacion_historica, trayectoria_paso.inflacion_mes, escenario_economico.inflacion_*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Métricas: retorno esperado, extremos, rendimiento real (§ 4.4)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simulacion.*, metrica_simulacion</w:t>
            </w:r>
          </w:p>
        </w:tc>
      </w:tr>
    </w:tbl>
    <w:p>
      <w:pPr>
        <w:pStyle w:val="Heading1"/>
      </w:pPr>
      <w:r>
        <w:rPr>
          <w:color w:val="1F3A5F"/>
        </w:rPr>
        <w:t>8. Archivos entregados</w:t>
      </w:r>
    </w:p>
    <w:p>
      <w:pPr>
        <w:pStyle w:val="ListBullet"/>
      </w:pPr>
      <w:r>
        <w:t>db/01_schema.sql — script DDL completo listo para ejecutar en PostgreSQL.</w:t>
      </w:r>
    </w:p>
    <w:p>
      <w:pPr>
        <w:pStyle w:val="ListBullet"/>
      </w:pPr>
      <w:r>
        <w:t>db/DISEÑO_BASE_DATOS.md — documentación técnica en markdown.</w:t>
      </w:r>
    </w:p>
    <w:p>
      <w:pPr>
        <w:pStyle w:val="ListBullet"/>
      </w:pPr>
      <w:r>
        <w:t>db/DISEÑO_BASE_DATOS.docx — este documento para entrega académica.</w:t>
      </w:r>
    </w:p>
    <w:p>
      <w:pPr>
        <w:pStyle w:val="Heading1"/>
      </w:pPr>
      <w:r>
        <w:rPr>
          <w:color w:val="1F3A5F"/>
        </w:rPr>
        <w:t>9. Próximos pasos sugeridos</w:t>
      </w:r>
    </w:p>
    <w:p>
      <w:pPr>
        <w:pStyle w:val="ListBullet"/>
      </w:pPr>
      <w:r>
        <w:t>Ejecutar el script en una instancia de PostgreSQL para validar sintaxis.</w:t>
      </w:r>
    </w:p>
    <w:p>
      <w:pPr>
        <w:pStyle w:val="ListBullet"/>
      </w:pPr>
      <w:r>
        <w:t>Decidir sobre la tabla trayectoria_instrumento_paso (activar o desactivar según volumen esperado).</w:t>
      </w:r>
    </w:p>
    <w:p>
      <w:pPr>
        <w:pStyle w:val="ListBullet"/>
      </w:pPr>
      <w:r>
        <w:t>Definir y versionar las consultas de las APIs que alimentarán los catálogos y series históricas.</w:t>
      </w:r>
    </w:p>
    <w:p>
      <w:pPr>
        <w:pStyle w:val="ListBullet"/>
      </w:pPr>
      <w:r>
        <w:t>Implementar un job periódico (Hosted Service de .NET o script Python) que actualice μ, σ y ρ a partir de precio_historico_accion.</w:t>
      </w:r>
    </w:p>
    <w:p>
      <w:pPr>
        <w:pStyle w:val="ListBullet"/>
      </w:pPr>
      <w:r>
        <w:t>Mapear las entidades al ORM (EF Core recomendado para C# / .NET).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