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der-lógico"/>
    <w:p>
      <w:pPr>
        <w:pStyle w:val="Heading1"/>
      </w:pPr>
      <w:r>
        <w:t xml:space="preserve">DER lógico</w:t>
      </w:r>
    </w:p>
    <w:p>
      <w:pPr>
        <w:pStyle w:val="FirstParagraph"/>
      </w:pPr>
      <w:r>
        <w:t xml:space="preserve">FitPocket usa</w:t>
      </w:r>
      <w:r>
        <w:t xml:space="preserve"> </w:t>
      </w:r>
      <w:r>
        <w:rPr>
          <w:b/>
          <w:bCs/>
        </w:rPr>
        <w:t xml:space="preserve">MongoDB</w:t>
      </w:r>
      <w:r>
        <w:t xml:space="preserve"> </w:t>
      </w:r>
      <w:r>
        <w:t xml:space="preserve">(Atlas) a través de Mongoose. No es una base relacional: no hay tablas ni claves foráneas que el motor haga cumplir. Este diagrama usa la notación de entidad-relación para mostrar las</w:t>
      </w:r>
      <w:r>
        <w:t xml:space="preserve"> </w:t>
      </w:r>
      <w:r>
        <w:rPr>
          <w:b/>
          <w:bCs/>
        </w:rPr>
        <w:t xml:space="preserve">colecciones</w:t>
      </w:r>
      <w:r>
        <w:t xml:space="preserve"> </w:t>
      </w:r>
      <w:r>
        <w:t xml:space="preserve">y cómo se relacionan, con dos tipos de vínculo: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Referencia:</w:t>
      </w:r>
      <w:r>
        <w:t xml:space="preserve"> </w:t>
      </w:r>
      <w:r>
        <w:t xml:space="preserve">un documento guarda el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(ObjectId) de otro, como una clave foránea. La integridad la mantiene la aplicación, por ejemplo: al borrar un usuario se borran sus planes y checkins.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Documento embebido:</w:t>
      </w:r>
      <w:r>
        <w:t xml:space="preserve"> </w:t>
      </w:r>
      <w:r>
        <w:t xml:space="preserve">los datos viven adentro del documento padre y no tienen colección propia (por ejemplo, el perfil dentro del usuario o la rutina dentro del plan). Se leen y escriben junto con el padre.</w:t>
      </w:r>
    </w:p>
    <w:p>
      <w:pPr>
        <w:pStyle w:val="FirstParagraph"/>
      </w:pPr>
      <w:r>
        <w:t xml:space="preserve">El diagrama refleja los modelos de</w:t>
      </w:r>
      <w:r>
        <w:t xml:space="preserve"> </w:t>
      </w:r>
      <w:r>
        <w:rPr>
          <w:rStyle w:val="VerbatimChar"/>
        </w:rPr>
        <w:t xml:space="preserve">fullStack/backend/models/</w:t>
      </w:r>
      <w:r>
        <w:t xml:space="preserve"> </w:t>
      </w:r>
      <w:r>
        <w:t xml:space="preserve">a octubre de 2026.</w:t>
      </w:r>
    </w:p>
    <w:p>
      <w:pPr>
        <w:pStyle w:val="BodyText"/>
      </w:pPr>
      <w:r>
        <w:drawing>
          <wp:inline>
            <wp:extent cx="5334000" cy="372952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/Users/Mauro/AppData/Local/Temp/claude/C--Users-Mauro-carpetaFitPocket-FitPocket/4ce13e56-386c-4878-8887-899aa1fb1519/scratchpad/word/mermaid/der-logico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9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cardinalidades"/>
    <w:p>
      <w:pPr>
        <w:pStyle w:val="Heading2"/>
      </w:pPr>
      <w:r>
        <w:t xml:space="preserve">Cardinalidades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Relación</w:t>
            </w:r>
          </w:p>
        </w:tc>
        <w:tc>
          <w:tcPr/>
          <w:p>
            <w:pPr>
              <w:pStyle w:val="Compact"/>
            </w:pPr>
            <w:r>
              <w:t xml:space="preserve">Cardinalidad</w:t>
            </w:r>
          </w:p>
        </w:tc>
        <w:tc>
          <w:tcPr/>
          <w:p>
            <w:pPr>
              <w:pStyle w:val="Compact"/>
            </w:pPr>
            <w:r>
              <w:t xml:space="preserve">Cómo se guarda</w:t>
            </w:r>
          </w:p>
        </w:tc>
        <w:tc>
          <w:tcPr/>
          <w:p>
            <w:pPr>
              <w:pStyle w:val="Compact"/>
            </w:pPr>
            <w:r>
              <w:t xml:space="preserve">Qué pasa al borrar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→ Planes</w:t>
            </w:r>
          </w:p>
        </w:tc>
        <w:tc>
          <w:tcPr/>
          <w:p>
            <w:pPr>
              <w:pStyle w:val="Compact"/>
            </w:pPr>
            <w:r>
              <w:t xml:space="preserve">1 a N (0 o más)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plans.userId</w:t>
            </w:r>
          </w:p>
        </w:tc>
        <w:tc>
          <w:tcPr/>
          <w:p>
            <w:pPr>
              <w:pStyle w:val="Compact"/>
            </w:pPr>
            <w:r>
              <w:t xml:space="preserve">Se borran los planes del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→ Checkins</w:t>
            </w:r>
          </w:p>
        </w:tc>
        <w:tc>
          <w:tcPr/>
          <w:p>
            <w:pPr>
              <w:pStyle w:val="Compact"/>
            </w:pPr>
            <w:r>
              <w:t xml:space="preserve">1 a N (0 o más)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checkins.userId</w:t>
            </w:r>
          </w:p>
        </w:tc>
        <w:tc>
          <w:tcPr/>
          <w:p>
            <w:pPr>
              <w:pStyle w:val="Compact"/>
            </w:pPr>
            <w:r>
              <w:t xml:space="preserve">Se borran los checkins del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→ Checkins</w:t>
            </w:r>
          </w:p>
        </w:tc>
        <w:tc>
          <w:tcPr/>
          <w:p>
            <w:pPr>
              <w:pStyle w:val="Compact"/>
            </w:pPr>
            <w:r>
              <w:t xml:space="preserve">0..1 a 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checkins.planId</w:t>
            </w:r>
            <w:r>
              <w:t xml:space="preserve"> </w:t>
            </w:r>
            <w:r>
              <w:t xml:space="preserve">(el plan activo al momento del checkin)</w:t>
            </w:r>
          </w:p>
        </w:tc>
        <w:tc>
          <w:tcPr/>
          <w:p>
            <w:pPr>
              <w:pStyle w:val="Compact"/>
            </w:pPr>
            <w:r>
              <w:t xml:space="preserve">Los checkins quedan aunque el plan se archive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→ Bitácora</w:t>
            </w:r>
          </w:p>
        </w:tc>
        <w:tc>
          <w:tcPr/>
          <w:p>
            <w:pPr>
              <w:pStyle w:val="Compact"/>
            </w:pPr>
            <w:r>
              <w:t xml:space="preserve">0..1 a 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bitacoras.userId</w:t>
            </w:r>
            <w:r>
              <w:t xml:space="preserve"> </w:t>
            </w:r>
            <w:r>
              <w:t xml:space="preserve">(null en pedidos sin sesión)</w:t>
            </w:r>
          </w:p>
        </w:tc>
        <w:tc>
          <w:tcPr/>
          <w:p>
            <w:pPr>
              <w:pStyle w:val="Compact"/>
            </w:pPr>
            <w:r>
              <w:t xml:space="preserve">Los registros quedan (son auditoría) hasta vencer por 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↔ Familias</w:t>
            </w:r>
          </w:p>
        </w:tc>
        <w:tc>
          <w:tcPr/>
          <w:p>
            <w:pPr>
              <w:pStyle w:val="Compact"/>
            </w:pPr>
            <w:r>
              <w:t xml:space="preserve">N a 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users.familias[]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↔ Patentes sueltas</w:t>
            </w:r>
          </w:p>
        </w:tc>
        <w:tc>
          <w:tcPr/>
          <w:p>
            <w:pPr>
              <w:pStyle w:val="Compact"/>
            </w:pPr>
            <w:r>
              <w:t xml:space="preserve">N a 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users.patentes[]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Familia ↔ Patentes</w:t>
            </w:r>
          </w:p>
        </w:tc>
        <w:tc>
          <w:tcPr/>
          <w:p>
            <w:pPr>
              <w:pStyle w:val="Compact"/>
            </w:pPr>
            <w:r>
              <w:t xml:space="preserve">N a 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familias.patentes[]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Familia ↔ Familia</w:t>
            </w:r>
          </w:p>
        </w:tc>
        <w:tc>
          <w:tcPr/>
          <w:p>
            <w:pPr>
              <w:pStyle w:val="Compact"/>
            </w:pPr>
            <w:r>
              <w:t xml:space="preserve">N a M (sin ciclos)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familias.familias[]</w:t>
            </w:r>
          </w:p>
        </w:tc>
        <w:tc>
          <w:tcPr/>
          <w:p>
            <w:pPr>
              <w:pStyle w:val="Compact"/>
            </w:pPr>
            <w:r>
              <w:t xml:space="preserve">La aplicación rechaza una edición que formaría un ciclo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→ Perfil</w:t>
            </w:r>
          </w:p>
        </w:tc>
        <w:tc>
          <w:tcPr/>
          <w:p>
            <w:pPr>
              <w:pStyle w:val="Compact"/>
            </w:pPr>
            <w:r>
              <w:t xml:space="preserve">1 a 1</w:t>
            </w:r>
          </w:p>
        </w:tc>
        <w:tc>
          <w:tcPr/>
          <w:p>
            <w:pPr>
              <w:pStyle w:val="Compact"/>
            </w:pPr>
            <w:r>
              <w:t xml:space="preserve">embebido en</w:t>
            </w:r>
            <w:r>
              <w:t xml:space="preserve"> </w:t>
            </w:r>
            <w:r>
              <w:rPr>
                <w:rStyle w:val="VerbatimChar"/>
              </w:rPr>
              <w:t xml:space="preserve">users.perfil</w:t>
            </w:r>
          </w:p>
        </w:tc>
        <w:tc>
          <w:tcPr/>
          <w:p>
            <w:pPr>
              <w:pStyle w:val="Compact"/>
            </w:pPr>
            <w:r>
              <w:t xml:space="preserve">Se borra con el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→ Días de rutina y de dieta</w:t>
            </w:r>
          </w:p>
        </w:tc>
        <w:tc>
          <w:tcPr/>
          <w:p>
            <w:pPr>
              <w:pStyle w:val="Compact"/>
            </w:pPr>
            <w:r>
              <w:t xml:space="preserve">1 a N</w:t>
            </w:r>
          </w:p>
        </w:tc>
        <w:tc>
          <w:tcPr/>
          <w:p>
            <w:pPr>
              <w:pStyle w:val="Compact"/>
            </w:pPr>
            <w:r>
              <w:t xml:space="preserve">embebidos en</w:t>
            </w:r>
            <w:r>
              <w:t xml:space="preserve"> </w:t>
            </w:r>
            <w:r>
              <w:rPr>
                <w:rStyle w:val="VerbatimChar"/>
              </w:rPr>
              <w:t xml:space="preserve">plans.rutina[]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plans.dieta[]</w:t>
            </w:r>
          </w:p>
        </w:tc>
        <w:tc>
          <w:tcPr/>
          <w:p>
            <w:pPr>
              <w:pStyle w:val="Compact"/>
            </w:pPr>
            <w:r>
              <w:t xml:space="preserve">Se borran con el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Colección → DVV</w:t>
            </w:r>
          </w:p>
        </w:tc>
        <w:tc>
          <w:tcPr/>
          <w:p>
            <w:pPr>
              <w:pStyle w:val="Compact"/>
            </w:pPr>
            <w:r>
              <w:t xml:space="preserve">1 a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digitosverificadoresverticales.coleccion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Un usuario tiene</w:t>
      </w:r>
      <w:r>
        <w:t xml:space="preserve"> </w:t>
      </w:r>
      <w:r>
        <w:rPr>
          <w:b/>
          <w:bCs/>
        </w:rPr>
        <w:t xml:space="preserve">como mucho un plan activo</w:t>
      </w:r>
      <w:r>
        <w:t xml:space="preserve">: al generar uno nuevo, los anteriores pasan a</w:t>
      </w:r>
      <w:r>
        <w:t xml:space="preserve"> </w:t>
      </w:r>
      <w:r>
        <w:rPr>
          <w:rStyle w:val="VerbatimChar"/>
        </w:rPr>
        <w:t xml:space="preserve">archivado</w:t>
      </w:r>
      <w:r>
        <w:t xml:space="preserve">.</w:t>
      </w:r>
    </w:p>
    <w:bookmarkEnd w:id="12"/>
    <w:bookmarkStart w:id="13" w:name="por-qué-referencias-y-por-qué-embebidos"/>
    <w:p>
      <w:pPr>
        <w:pStyle w:val="Heading2"/>
      </w:pPr>
      <w:r>
        <w:t xml:space="preserve">Por qué referencias y por qué embebidos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 perfil, la rutina y la dieta van embebidos</w:t>
      </w:r>
      <w:r>
        <w:t xml:space="preserve"> </w:t>
      </w:r>
      <w:r>
        <w:t xml:space="preserve">porque siempre se leen junto con su documento padre (el dashboard pide el plan entero) y no tienen sentido solos. Leerlos es una sola consulta.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Planes y checkins son colecciones aparte</w:t>
      </w:r>
      <w:r>
        <w:t xml:space="preserve"> </w:t>
      </w:r>
      <w:r>
        <w:t xml:space="preserve">porque crecen sin límite (un checkin por día) y se consultan por rango de fechas. Embeberlos haría crecer el documento del usuario hasta el límite de 16 MB de MongoDB.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Patentes y familias son colecciones aparte</w:t>
      </w:r>
      <w:r>
        <w:t xml:space="preserve"> </w:t>
      </w:r>
      <w:r>
        <w:t xml:space="preserve">porque se comparten entre muchos usuarios: cambiar una familia afecta en el momento a todos los que la tienen.</w:t>
      </w:r>
    </w:p>
    <w:bookmarkEnd w:id="13"/>
    <w:bookmarkStart w:id="15" w:name="índices"/>
    <w:p>
      <w:pPr>
        <w:pStyle w:val="Heading2"/>
      </w:pPr>
      <w:r>
        <w:t xml:space="preserve">Índices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Colección</w:t>
            </w:r>
          </w:p>
        </w:tc>
        <w:tc>
          <w:tcPr/>
          <w:p>
            <w:pPr>
              <w:pStyle w:val="Compact"/>
            </w:pPr>
            <w:r>
              <w:t xml:space="preserve">Índice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email: 1 }</w:t>
            </w:r>
            <w:r>
              <w:t xml:space="preserve"> </w:t>
            </w:r>
            <w:r>
              <w:t xml:space="preserve">único</w:t>
            </w:r>
          </w:p>
        </w:tc>
        <w:tc>
          <w:tcPr/>
          <w:p>
            <w:pPr>
              <w:pStyle w:val="Compact"/>
            </w:pPr>
            <w:r>
              <w:t xml:space="preserve">Login y unicidad del email (RNF04)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userId: 1, estado: 1 }</w:t>
            </w:r>
          </w:p>
        </w:tc>
        <w:tc>
          <w:tcPr/>
          <w:p>
            <w:pPr>
              <w:pStyle w:val="Compact"/>
            </w:pPr>
            <w:r>
              <w:t xml:space="preserve">Buscar el plan activo de un usuario (lo hace casi cada pantalla)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userId: 1, fecha: 1 }</w:t>
            </w:r>
            <w:r>
              <w:t xml:space="preserve"> </w:t>
            </w:r>
            <w:r>
              <w:t xml:space="preserve">único</w:t>
            </w:r>
          </w:p>
        </w:tc>
        <w:tc>
          <w:tcPr/>
          <w:p>
            <w:pPr>
              <w:pStyle w:val="Compact"/>
            </w:pPr>
            <w:r>
              <w:t xml:space="preserve">Un checkin por usuario por día (RNF05) y la adherencia por rango de fechas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bitacoras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createdAt: 1 }</w:t>
            </w:r>
            <w:r>
              <w:t xml:space="preserve"> </w:t>
            </w:r>
            <w:r>
              <w:t xml:space="preserve">con TTL de 180 días</w:t>
            </w:r>
          </w:p>
        </w:tc>
        <w:tc>
          <w:tcPr/>
          <w:p>
            <w:pPr>
              <w:pStyle w:val="Compact"/>
            </w:pPr>
            <w:r>
              <w:t xml:space="preserve">Ordenar por fecha y borrar solos los registros viejos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bitacoras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userId: 1, createdAt: -1 }</w:t>
            </w:r>
          </w:p>
        </w:tc>
        <w:tc>
          <w:tcPr/>
          <w:p>
            <w:pPr>
              <w:pStyle w:val="Compact"/>
            </w:pPr>
            <w:r>
              <w:t xml:space="preserve">Filtrar la bitácora por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codigo: 1 }</w:t>
            </w:r>
            <w:r>
              <w:t xml:space="preserve"> </w:t>
            </w:r>
            <w:r>
              <w:t xml:space="preserve">único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nombre: 1 }</w:t>
            </w:r>
            <w:r>
              <w:t xml:space="preserve"> </w:t>
            </w:r>
            <w:r>
              <w:t xml:space="preserve">único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digitosverificadoresverticales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coleccion: 1 }</w:t>
            </w:r>
            <w:r>
              <w:t xml:space="preserve"> </w:t>
            </w:r>
            <w:r>
              <w:t xml:space="preserve">único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El detalle de backup, particiones y dígitos verificadores está en</w:t>
      </w:r>
      <w:r>
        <w:t xml:space="preserve"> </w:t>
      </w:r>
      <w:hyperlink r:id="rId14">
        <w:r>
          <w:rPr>
            <w:rStyle w:val="VerbatimChar"/>
          </w:rPr>
          <w:t xml:space="preserve">estrategia-de-datos.docx</w:t>
        </w:r>
      </w:hyperlink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estrategia-de-dato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estrategia-de-datos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2026-10-29T12:24:39Z</dcterms:created>
  <dcterms:modified xsi:type="dcterms:W3CDTF">2026-10-29T12:24:39Z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