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iagrama-de-clases"/>
    <w:p>
      <w:pPr>
        <w:pStyle w:val="Heading1"/>
      </w:pPr>
      <w:r>
        <w:t xml:space="preserve">Diagrama de clases</w:t>
      </w:r>
    </w:p>
    <w:p>
      <w:pPr>
        <w:pStyle w:val="FirstParagraph"/>
      </w:pPr>
      <w:r>
        <w:t xml:space="preserve">FitPocket está escrito en JavaScript, así que no todo es una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 los modelos son esquemas de Mongoose y muchos servicios son módulos con funciones. En el diagrama se representan igual, como clases con sus atributos y operaciones, para mostrar la estructura. Refleja el código de</w:t>
      </w:r>
      <w:r>
        <w:t xml:space="preserve"> </w:t>
      </w:r>
      <w:r>
        <w:rPr>
          <w:rStyle w:val="VerbatimChar"/>
        </w:rPr>
        <w:t xml:space="preserve">fullStack/backend</w:t>
      </w:r>
      <w:r>
        <w:t xml:space="preserve"> </w:t>
      </w:r>
      <w:r>
        <w:t xml:space="preserve">a octubre de 2026.</w:t>
      </w:r>
    </w:p>
    <w:p>
      <w:pPr>
        <w:pStyle w:val="BodyText"/>
      </w:pPr>
      <w:r>
        <w:t xml:space="preserve">Está dividido en tres partes para que se pueda leer: el modelo de datos, el control de acceso (Composite) y los servicios con los demás patrones.</w:t>
      </w:r>
    </w:p>
    <w:bookmarkStart w:id="12" w:name="X33b9ee5780a3043c28ed18f409c264cccc22dc9"/>
    <w:p>
      <w:pPr>
        <w:pStyle w:val="Heading2"/>
      </w:pPr>
      <w:r>
        <w:t xml:space="preserve">1. Modelo de datos</w:t>
      </w:r>
    </w:p>
    <w:p>
      <w:pPr>
        <w:pStyle w:val="FirstParagraph"/>
      </w:pPr>
      <w:r>
        <w:drawing>
          <wp:inline>
            <wp:extent cx="5334000" cy="38644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diagrama-de-clases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X181d0683c2a4c80e057da16589980793461a31e"/>
    <w:p>
      <w:pPr>
        <w:pStyle w:val="Heading2"/>
      </w:pPr>
      <w:r>
        <w:t xml:space="preserve">2. Control de acceso (patrón Composite)</w:t>
      </w:r>
    </w:p>
    <w:p>
      <w:pPr>
        <w:pStyle w:val="FirstParagraph"/>
      </w:pPr>
      <w:r>
        <w:drawing>
          <wp:inline>
            <wp:extent cx="5334000" cy="1076113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diagrama-de-clases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1" w:name="X650d24189114be190328b6affdb0a46eebf8334"/>
    <w:p>
      <w:pPr>
        <w:pStyle w:val="Heading2"/>
      </w:pPr>
      <w:r>
        <w:t xml:space="preserve">3. Servicios y patrones</w:t>
      </w:r>
    </w:p>
    <w:p>
      <w:pPr>
        <w:pStyle w:val="FirstParagraph"/>
      </w:pPr>
      <w:r>
        <w:drawing>
          <wp:inline>
            <wp:extent cx="5334000" cy="398008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diagrama-de-clases-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 relaciones entre controladores, rutas y servicios siguen la estructura MVC (RNF10): cada ruta valida el token (</w:t>
      </w:r>
      <w:r>
        <w:rPr>
          <w:rStyle w:val="VerbatimChar"/>
        </w:rPr>
        <w:t xml:space="preserve">auth</w:t>
      </w:r>
      <w:r>
        <w:t xml:space="preserve">) y la patente (</w:t>
      </w:r>
      <w:r>
        <w:rPr>
          <w:rStyle w:val="VerbatimChar"/>
        </w:rPr>
        <w:t xml:space="preserve">requierePatente</w:t>
      </w:r>
      <w:r>
        <w:t xml:space="preserve">), y llama a un controlador, que usa los modelos y los servicios. El detalle de cada patrón está en</w:t>
      </w:r>
      <w:r>
        <w:t xml:space="preserve"> </w:t>
      </w:r>
      <w:hyperlink r:id="rId20">
        <w:r>
          <w:rPr>
            <w:rStyle w:val="VerbatimChar"/>
          </w:rPr>
          <w:t xml:space="preserve">patrones-de-diseno.docx</w:t>
        </w:r>
      </w:hyperlink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hyperlink" Id="rId20" Target="patrones-de-diseno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atrones-de-diseno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2026-10-29T12:24:47Z</dcterms:created>
  <dcterms:modified xsi:type="dcterms:W3CDTF">2026-10-29T12:24:47Z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