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patrones-de-diseño"/>
    <w:p>
      <w:pPr>
        <w:pStyle w:val="Heading1"/>
      </w:pPr>
      <w:r>
        <w:t xml:space="preserve">Patrones de diseño</w:t>
      </w:r>
    </w:p>
    <w:p>
      <w:pPr>
        <w:pStyle w:val="FirstParagraph"/>
      </w:pPr>
      <w:r>
        <w:t xml:space="preserve">FitPocket usa cinco patrones de diseño. Cada uno resuelve un problema concreto del proyecto; ninguno se agregó solo para cumplir. En el código, cada uno está marcado con un comentario de una línea que dice qué patrón es (buscar "Patrón" en</w:t>
      </w:r>
      <w:r>
        <w:t xml:space="preserve"> </w:t>
      </w:r>
      <w:r>
        <w:rPr>
          <w:rStyle w:val="VerbatimChar"/>
        </w:rPr>
        <w:t xml:space="preserve">fullStack/backend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Problema que resuelve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</w:t>
            </w:r>
          </w:p>
        </w:tc>
        <w:tc>
          <w:tcPr/>
          <w:p>
            <w:pPr>
              <w:pStyle w:val="Compact"/>
            </w:pPr>
            <w:r>
              <w:t xml:space="preserve">Estructural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services/permisosService.js</w:t>
            </w:r>
          </w:p>
        </w:tc>
        <w:tc>
          <w:tcPr/>
          <w:p>
            <w:pPr>
              <w:pStyle w:val="Compact"/>
            </w:pPr>
            <w:r>
              <w:t xml:space="preserve">Familias de permisos que contienen otras familias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services/ia/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services/adherenciaService.js</w:t>
            </w:r>
          </w:p>
        </w:tc>
        <w:tc>
          <w:tcPr/>
          <w:p>
            <w:pPr>
              <w:pStyle w:val="Compact"/>
            </w:pPr>
            <w:r>
              <w:t xml:space="preserve">Cambiar el proveedor de IA y el período de la adherencia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Factory Method</w:t>
            </w:r>
          </w:p>
        </w:tc>
        <w:tc>
          <w:tcPr/>
          <w:p>
            <w:pPr>
              <w:pStyle w:val="Compact"/>
            </w:pPr>
            <w:r>
              <w:t xml:space="preserve">Creacional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services/ia/iaFactory.js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services/mailService.js</w:t>
            </w:r>
          </w:p>
        </w:tc>
        <w:tc>
          <w:tcPr/>
          <w:p>
            <w:pPr>
              <w:pStyle w:val="Compact"/>
            </w:pPr>
            <w:r>
              <w:t xml:space="preserve">Crear la estrategia de IA y los mails según un parámetro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Observer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services/eventos.js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services/suscriptores/</w:t>
            </w:r>
          </w:p>
        </w:tc>
        <w:tc>
          <w:tcPr/>
          <w:p>
            <w:pPr>
              <w:pStyle w:val="Compact"/>
            </w:pPr>
            <w:r>
              <w:t xml:space="preserve">Reaccionar a eventos sin acoplar los controladores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t xml:space="preserve">Creacional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config/db.js</w:t>
            </w:r>
            <w:r>
              <w:t xml:space="preserve">, transporter de</w:t>
            </w:r>
            <w:r>
              <w:t xml:space="preserve"> </w:t>
            </w:r>
            <w:r>
              <w:rPr>
                <w:rStyle w:val="VerbatimChar"/>
              </w:rPr>
              <w:t xml:space="preserve">services/mailService.js</w:t>
            </w:r>
            <w:r>
              <w:t xml:space="preserve">, bus de eventos</w:t>
            </w:r>
          </w:p>
        </w:tc>
        <w:tc>
          <w:tcPr/>
          <w:p>
            <w:pPr>
              <w:pStyle w:val="Compact"/>
            </w:pPr>
            <w:r>
              <w:t xml:space="preserve">Un solo recurso compartido por proceso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2" w:name="composite"/>
    <w:p>
      <w:pPr>
        <w:pStyle w:val="Heading2"/>
      </w:pPr>
      <w:r>
        <w:t xml:space="preserve">Composite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La consigna pide permisos atómicos (patentes) agrupados en familias, y que una familia pueda contener otras: Administrador incluye todo lo de Usuario. Saber qué puede hacer alguien significa recorrer un árbol de profundidad variable, y la lógica no debería distinguir entre "una patente" y "una familia".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Patentes y familias implementan la misma interfaz</w:t>
      </w:r>
      <w:r>
        <w:t xml:space="preserve"> </w:t>
      </w:r>
      <w:r>
        <w:rPr>
          <w:rStyle w:val="VerbatimChar"/>
        </w:rPr>
        <w:t xml:space="preserve">obtenerPatentes()</w:t>
      </w:r>
      <w:r>
        <w:t xml:space="preserve">. Una patente (hoja) devuelve su código; una familia (compuesto) devuelve la unión de lo que devuelven sus hijos, sean patentes o familias. Los permisos de un usuario son una familia raíz con sus familias y sus patentes sueltas como hijos.</w:t>
      </w:r>
    </w:p>
    <w:p>
      <w:pPr>
        <w:pStyle w:val="BodyText"/>
      </w:pPr>
      <w:r>
        <w:rPr>
          <w:b/>
          <w:bCs/>
        </w:rPr>
        <w:t xml:space="preserve">Dónde.</w:t>
      </w:r>
      <w:r>
        <w:t xml:space="preserve"> </w:t>
      </w:r>
      <w:r>
        <w:rPr>
          <w:rStyle w:val="VerbatimChar"/>
        </w:rPr>
        <w:t xml:space="preserve">services/permisosService.js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ComponentePermiso</w:t>
      </w:r>
      <w:r>
        <w:t xml:space="preserve">,</w:t>
      </w:r>
      <w:r>
        <w:t xml:space="preserve"> </w:t>
      </w:r>
      <w:r>
        <w:rPr>
          <w:rStyle w:val="VerbatimChar"/>
        </w:rPr>
        <w:t xml:space="preserve">PatenteHoja</w:t>
      </w:r>
      <w:r>
        <w:t xml:space="preserve">,</w:t>
      </w:r>
      <w:r>
        <w:t xml:space="preserve"> </w:t>
      </w:r>
      <w:r>
        <w:rPr>
          <w:rStyle w:val="VerbatimChar"/>
        </w:rPr>
        <w:t xml:space="preserve">FamiliaCompuesta</w:t>
      </w:r>
      <w:r>
        <w:t xml:space="preserve">,</w:t>
      </w:r>
      <w:r>
        <w:t xml:space="preserve"> </w:t>
      </w:r>
      <w:r>
        <w:rPr>
          <w:rStyle w:val="VerbatimChar"/>
        </w:rPr>
        <w:t xml:space="preserve">arbolDeUsuario()</w:t>
      </w:r>
      <w:r>
        <w:t xml:space="preserve">. Lo usa</w:t>
      </w:r>
      <w:r>
        <w:t xml:space="preserve"> </w:t>
      </w:r>
      <w:r>
        <w:rPr>
          <w:rStyle w:val="VerbatimChar"/>
        </w:rPr>
        <w:t xml:space="preserve">middleware/requierePatente.js</w:t>
      </w:r>
      <w:r>
        <w:t xml:space="preserve"> </w:t>
      </w:r>
      <w:r>
        <w:t xml:space="preserve">en cada ruta protegida.</w:t>
      </w:r>
    </w:p>
    <w:p>
      <w:pPr>
        <w:pStyle w:val="BodyText"/>
      </w:pPr>
      <w:r>
        <w:drawing>
          <wp:inline>
            <wp:extent cx="5334000" cy="5448956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patrones-de-diseno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Detalle importante: ciclos.</w:t>
      </w:r>
      <w:r>
        <w:t xml:space="preserve"> </w:t>
      </w:r>
      <w:r>
        <w:t xml:space="preserve">Si en la base quedara una familia que se contiene a sí misma (directa o indirectamente), el recorrido entraría en loop.</w:t>
      </w:r>
      <w:r>
        <w:t xml:space="preserve"> </w:t>
      </w:r>
      <w:r>
        <w:rPr>
          <w:rStyle w:val="VerbatimChar"/>
        </w:rPr>
        <w:t xml:space="preserve">obtenerPatentes()</w:t>
      </w:r>
      <w:r>
        <w:t xml:space="preserve"> </w:t>
      </w:r>
      <w:r>
        <w:t xml:space="preserve">recibe un conjunto de familias ya visitadas y corta ahí. Además, la API rechaza una edición que formaría un ciclo y la pantalla no ofrece esas familias. Hay un test para cada caso.</w:t>
      </w:r>
    </w:p>
    <w:p>
      <w:pPr>
        <w:pStyle w:val="BodyText"/>
      </w:pPr>
      <w:r>
        <w:rPr>
          <w:b/>
          <w:bCs/>
        </w:rPr>
        <w:t xml:space="preserve">Por qué este patrón.</w:t>
      </w:r>
      <w:r>
        <w:t xml:space="preserve"> </w:t>
      </w:r>
      <w:r>
        <w:t xml:space="preserve">Agregar una familia nueva (por ejemplo "Auditor") o anidar una familia más no requiere tocar código: es un dato en la base.</w:t>
      </w:r>
    </w:p>
    <w:p>
      <w:r>
        <w:pict>
          <v:rect style="width:0;height:1.5pt" o:hralign="center" o:hrstd="t" o:hr="t"/>
        </w:pict>
      </w:r>
    </w:p>
    <w:bookmarkEnd w:id="12"/>
    <w:bookmarkStart w:id="18" w:name="strategy"/>
    <w:p>
      <w:pPr>
        <w:pStyle w:val="Heading2"/>
      </w:pPr>
      <w:r>
        <w:t xml:space="preserve">Strategy</w:t>
      </w:r>
    </w:p>
    <w:bookmarkStart w:id="16" w:name="proveedor-de-ia"/>
    <w:p>
      <w:pPr>
        <w:pStyle w:val="Heading3"/>
      </w:pPr>
      <w:r>
        <w:t xml:space="preserve">Proveedor de IA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rPr>
          <w:rStyle w:val="VerbatimChar"/>
        </w:rPr>
        <w:t xml:space="preserve">iaService</w:t>
      </w:r>
      <w:r>
        <w:t xml:space="preserve"> </w:t>
      </w:r>
      <w:r>
        <w:t xml:space="preserve">estaba atado a Groq: creaba el cliente al importarse (sin</w:t>
      </w:r>
      <w:r>
        <w:t xml:space="preserve"> </w:t>
      </w:r>
      <w:r>
        <w:rPr>
          <w:rStyle w:val="VerbatimChar"/>
        </w:rPr>
        <w:t xml:space="preserve">GROQ_API_KEY</w:t>
      </w:r>
      <w:r>
        <w:t xml:space="preserve"> </w:t>
      </w:r>
      <w:r>
        <w:t xml:space="preserve">se caía todo el backend) y no había forma de usar otro modelo, por ejemplo uno local cuando se agota el límite gratuito.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Una interfaz</w:t>
      </w:r>
      <w:r>
        <w:t xml:space="preserve"> </w:t>
      </w:r>
      <w:r>
        <w:rPr>
          <w:rStyle w:val="VerbatimChar"/>
        </w:rPr>
        <w:t xml:space="preserve">EstrategiaIA</w:t>
      </w:r>
      <w:r>
        <w:t xml:space="preserve"> </w:t>
      </w:r>
      <w:r>
        <w:t xml:space="preserve">con un solo método,</w:t>
      </w:r>
      <w:r>
        <w:t xml:space="preserve"> </w:t>
      </w:r>
      <w:r>
        <w:rPr>
          <w:rStyle w:val="VerbatimChar"/>
        </w:rPr>
        <w:t xml:space="preserve">completar(mensajes, temperatura)</w:t>
      </w:r>
      <w:r>
        <w:t xml:space="preserve">, y dos implementaciones:</w:t>
      </w:r>
      <w:r>
        <w:t xml:space="preserve"> </w:t>
      </w:r>
      <w:r>
        <w:rPr>
          <w:rStyle w:val="VerbatimChar"/>
        </w:rPr>
        <w:t xml:space="preserve">GroqStrategy</w:t>
      </w:r>
      <w:r>
        <w:t xml:space="preserve"> </w:t>
      </w:r>
      <w:r>
        <w:t xml:space="preserve">(con el reintento ante el límite de tokens por minuto) y</w:t>
      </w:r>
      <w:r>
        <w:t xml:space="preserve"> </w:t>
      </w:r>
      <w:r>
        <w:rPr>
          <w:rStyle w:val="VerbatimChar"/>
        </w:rPr>
        <w:t xml:space="preserve">OllamaStrategy</w:t>
      </w:r>
      <w:r>
        <w:t xml:space="preserve"> </w:t>
      </w:r>
      <w:r>
        <w:t xml:space="preserve">(HTTP a un servidor Ollama).</w:t>
      </w:r>
      <w:r>
        <w:t xml:space="preserve"> </w:t>
      </w:r>
      <w:r>
        <w:rPr>
          <w:rStyle w:val="VerbatimChar"/>
        </w:rPr>
        <w:t xml:space="preserve">iaService</w:t>
      </w:r>
      <w:r>
        <w:t xml:space="preserve"> </w:t>
      </w:r>
      <w:r>
        <w:t xml:space="preserve">arma los prompts y procesa las respuestas sin saber qué proveedor hay atrás.</w:t>
      </w:r>
    </w:p>
    <w:p>
      <w:pPr>
        <w:pStyle w:val="BodyText"/>
      </w:pPr>
      <w:r>
        <w:rPr>
          <w:b/>
          <w:bCs/>
        </w:rPr>
        <w:t xml:space="preserve">Dónde.</w:t>
      </w:r>
      <w:r>
        <w:t xml:space="preserve"> </w:t>
      </w:r>
      <w:r>
        <w:rPr>
          <w:rStyle w:val="VerbatimChar"/>
        </w:rPr>
        <w:t xml:space="preserve">services/ia/EstrategiaIA.js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GroqStrategy.js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OllamaStrategy.js</w:t>
      </w:r>
      <w:r>
        <w:t xml:space="preserve">; la usa</w:t>
      </w:r>
      <w:r>
        <w:t xml:space="preserve"> </w:t>
      </w:r>
      <w:r>
        <w:rPr>
          <w:rStyle w:val="VerbatimChar"/>
        </w:rPr>
        <w:t xml:space="preserve">services/iaService.js</w:t>
      </w:r>
      <w:r>
        <w:t xml:space="preserve">. En las pruebas se inyecta una estrategia falsa (</w:t>
      </w:r>
      <w:r>
        <w:rPr>
          <w:rStyle w:val="VerbatimChar"/>
        </w:rPr>
        <w:t xml:space="preserve">tests/helpers/iaFalsa.js</w:t>
      </w:r>
      <w:r>
        <w:t xml:space="preserve">), así nunca se llama a Groq.</w:t>
      </w:r>
    </w:p>
    <w:p>
      <w:pPr>
        <w:pStyle w:val="BodyText"/>
      </w:pPr>
      <w:r>
        <w:drawing>
          <wp:inline>
            <wp:extent cx="5334000" cy="781932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patrones-de-diseno-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19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bookmarkStart w:id="17" w:name="período-de-adherencia"/>
    <w:p>
      <w:pPr>
        <w:pStyle w:val="Heading3"/>
      </w:pPr>
      <w:r>
        <w:t xml:space="preserve">Período de adherencia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La adherencia semanal (RF08) se calculaba dentro del controlador, mezclada con las consultas. La mensual requería duplicar todo cambiando un número.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rPr>
          <w:rStyle w:val="VerbatimChar"/>
        </w:rPr>
        <w:t xml:space="preserve">EstrategiaAdherencia</w:t>
      </w:r>
      <w:r>
        <w:t xml:space="preserve"> </w:t>
      </w:r>
      <w:r>
        <w:t xml:space="preserve">define qué fechas mira el cálculo;</w:t>
      </w:r>
      <w:r>
        <w:t xml:space="preserve"> </w:t>
      </w:r>
      <w:r>
        <w:rPr>
          <w:rStyle w:val="VerbatimChar"/>
        </w:rPr>
        <w:t xml:space="preserve">AdherenciaSemanal</w:t>
      </w:r>
      <w:r>
        <w:t xml:space="preserve"> </w:t>
      </w:r>
      <w:r>
        <w:t xml:space="preserve">(7 días) y</w:t>
      </w:r>
      <w:r>
        <w:t xml:space="preserve"> </w:t>
      </w:r>
      <w:r>
        <w:rPr>
          <w:rStyle w:val="VerbatimChar"/>
        </w:rPr>
        <w:t xml:space="preserve">AdherenciaMensual</w:t>
      </w:r>
      <w:r>
        <w:t xml:space="preserve"> </w:t>
      </w:r>
      <w:r>
        <w:t xml:space="preserve">(30) son las dos estrategias. El cálculo en sí (</w:t>
      </w:r>
      <w:r>
        <w:rPr>
          <w:rStyle w:val="VerbatimChar"/>
        </w:rPr>
        <w:t xml:space="preserve">calcularAdherencia</w:t>
      </w:r>
      <w:r>
        <w:t xml:space="preserve">) es una función pura que se prueba sin base de datos.</w:t>
      </w:r>
    </w:p>
    <w:p>
      <w:pPr>
        <w:pStyle w:val="BodyText"/>
      </w:pPr>
      <w:r>
        <w:rPr>
          <w:b/>
          <w:bCs/>
        </w:rPr>
        <w:t xml:space="preserve">Dónde.</w:t>
      </w:r>
      <w:r>
        <w:t xml:space="preserve"> </w:t>
      </w:r>
      <w:r>
        <w:rPr>
          <w:rStyle w:val="VerbatimChar"/>
        </w:rPr>
        <w:t xml:space="preserve">services/adherenciaService.js</w:t>
      </w:r>
      <w:r>
        <w:t xml:space="preserve">. Lo usan</w:t>
      </w:r>
      <w:r>
        <w:t xml:space="preserve"> </w:t>
      </w:r>
      <w:r>
        <w:rPr>
          <w:rStyle w:val="VerbatimChar"/>
        </w:rPr>
        <w:t xml:space="preserve">GET /checkins/semana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/checkins/mes</w:t>
      </w:r>
      <w:r>
        <w:t xml:space="preserve"> </w:t>
      </w:r>
      <w:r>
        <w:t xml:space="preserve">y el suscriptor de alertas.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factory-method"/>
    <w:p>
      <w:pPr>
        <w:pStyle w:val="Heading2"/>
      </w:pPr>
      <w:r>
        <w:t xml:space="preserve">Factory Method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Alguien tiene que decidir qué estrategia de IA crear, y validar la configuración. Si esa decisión estuviera en</w:t>
      </w:r>
      <w:r>
        <w:t xml:space="preserve"> </w:t>
      </w:r>
      <w:r>
        <w:rPr>
          <w:rStyle w:val="VerbatimChar"/>
        </w:rPr>
        <w:t xml:space="preserve">iaService</w:t>
      </w:r>
      <w:r>
        <w:t xml:space="preserve">, agregar un proveedor obligaría a tocarlo. Algo parecido pasa con los mails: cada tipo (recuperación, alerta) tiene textos en dos idiomas y un armado distinto.</w:t>
      </w:r>
    </w:p>
    <w:p>
      <w:pPr>
        <w:pStyle w:val="BodyText"/>
      </w:pPr>
      <w:r>
        <w:rPr>
          <w:b/>
          <w:bCs/>
        </w:rPr>
        <w:t xml:space="preserve">Solución.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crearEstrategiaIA(proveedor)</w:t>
      </w:r>
      <w:r>
        <w:t xml:space="preserve"> </w:t>
      </w:r>
      <w:r>
        <w:t xml:space="preserve">crea la estrategia según la variable</w:t>
      </w:r>
      <w:r>
        <w:t xml:space="preserve"> </w:t>
      </w:r>
      <w:r>
        <w:rPr>
          <w:rStyle w:val="VerbatimChar"/>
        </w:rPr>
        <w:t xml:space="preserve">IA_PROVIDER</w:t>
      </w:r>
      <w:r>
        <w:t xml:space="preserve"> </w:t>
      </w:r>
      <w:r>
        <w:t xml:space="preserve">a partir de una tabla</w:t>
      </w:r>
      <w:r>
        <w:t xml:space="preserve"> </w:t>
      </w:r>
      <w:r>
        <w:rPr>
          <w:rStyle w:val="VerbatimChar"/>
        </w:rPr>
        <w:t xml:space="preserve">{ groq, ollama }</w:t>
      </w:r>
      <w:r>
        <w:t xml:space="preserve">. Si el valor no existe, tira un error que lista los válidos, y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lo llama al arrancar: un</w:t>
      </w:r>
      <w:r>
        <w:t xml:space="preserve"> </w:t>
      </w:r>
      <w:r>
        <w:rPr>
          <w:rStyle w:val="VerbatimChar"/>
        </w:rPr>
        <w:t xml:space="preserve">IA_PROVIDER=gpt</w:t>
      </w:r>
      <w:r>
        <w:t xml:space="preserve"> </w:t>
      </w:r>
      <w:r>
        <w:t xml:space="preserve">frena el backend con</w:t>
      </w:r>
      <w:r>
        <w:t xml:space="preserve"> </w:t>
      </w:r>
      <w:r>
        <w:rPr>
          <w:rStyle w:val="VerbatimChar"/>
        </w:rPr>
        <w:t xml:space="preserve">IA_PROVIDER="gpt" no es válido. Usá uno de: groq, ollama.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crearMail(tipo, idioma, datos)</w:t>
      </w:r>
      <w:r>
        <w:t xml:space="preserve"> </w:t>
      </w:r>
      <w:r>
        <w:t xml:space="preserve">arma asunto, texto plano y HTML del mail pedido, en el idioma del usuario (español si no se reconoce).</w:t>
      </w:r>
    </w:p>
    <w:p>
      <w:pPr>
        <w:pStyle w:val="FirstParagraph"/>
      </w:pPr>
      <w:r>
        <w:rPr>
          <w:b/>
          <w:bCs/>
        </w:rPr>
        <w:t xml:space="preserve">Dónde.</w:t>
      </w:r>
      <w:r>
        <w:t xml:space="preserve"> </w:t>
      </w:r>
      <w:r>
        <w:rPr>
          <w:rStyle w:val="VerbatimChar"/>
        </w:rPr>
        <w:t xml:space="preserve">services/ia/iaFactory.js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services/mailService.js</w:t>
      </w:r>
      <w:r>
        <w:t xml:space="preserve">.</w:t>
      </w:r>
    </w:p>
    <w:p>
      <w:pPr>
        <w:pStyle w:val="BodyText"/>
      </w:pPr>
      <w:r>
        <w:drawing>
          <wp:inline>
            <wp:extent cx="5334000" cy="587307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patrones-de-diseno-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3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Por qué este patrón.</w:t>
      </w:r>
      <w:r>
        <w:t xml:space="preserve"> </w:t>
      </w:r>
      <w:r>
        <w:t xml:space="preserve">Sumar un proveedor nuevo (por ejemplo, la API de Claude u OpenAI) es escribir una clase nueva y agregar una línea a la tabla de la fábrica; nada más cambia.</w:t>
      </w:r>
    </w:p>
    <w:p>
      <w:r>
        <w:pict>
          <v:rect style="width:0;height:1.5pt" o:hralign="center" o:hrstd="t" o:hr="t"/>
        </w:pict>
      </w:r>
    </w:p>
    <w:bookmarkEnd w:id="22"/>
    <w:bookmarkStart w:id="26" w:name="observer"/>
    <w:p>
      <w:pPr>
        <w:pStyle w:val="Heading2"/>
      </w:pPr>
      <w:r>
        <w:t xml:space="preserve">Observer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Cuando pasa algo importante (se registra un checkin, se genera un plan, se borra un usuario, se detecta una alteración) hay varias cosas que hacer: dejarlo en la bitácora, revisar si la adherencia bajó, mandar un mail. Si cada controlador hiciera todo eso, quedaría acoplado a la bitácora, al mail y a la lógica de alertas, y un error en el mail podría romper el checkin.</w:t>
      </w:r>
    </w:p>
    <w:p>
      <w:pPr>
        <w:pStyle w:val="BodyText"/>
      </w:pPr>
      <w:r>
        <w:rPr>
          <w:b/>
          <w:bCs/>
        </w:rPr>
        <w:t xml:space="preserve">Solución.</w:t>
      </w:r>
      <w:r>
        <w:t xml:space="preserve"> </w:t>
      </w:r>
      <w:r>
        <w:t xml:space="preserve">Un bus de eventos (</w:t>
      </w:r>
      <w:r>
        <w:rPr>
          <w:rStyle w:val="VerbatimChar"/>
        </w:rPr>
        <w:t xml:space="preserve">EventEmitter</w:t>
      </w:r>
      <w:r>
        <w:t xml:space="preserve"> </w:t>
      </w:r>
      <w:r>
        <w:t xml:space="preserve">de Node). Los controladores solo emiten "pasó X" con algunos datos; los suscriptores se registran una vez al iniciar la app y reaccionan.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Lo emite</w:t>
            </w:r>
          </w:p>
        </w:tc>
        <w:tc>
          <w:tcPr/>
          <w:p>
            <w:pPr>
              <w:pStyle w:val="Compact"/>
            </w:pPr>
            <w:r>
              <w:t xml:space="preserve">Suscriptores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checkin.registrado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checkinController</w:t>
            </w:r>
          </w:p>
        </w:tc>
        <w:tc>
          <w:tcPr/>
          <w:p>
            <w:pPr>
              <w:pStyle w:val="Compact"/>
            </w:pPr>
            <w:r>
              <w:t xml:space="preserve">Bitácora; alertas de adherencia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plan.generado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planController</w:t>
            </w:r>
          </w:p>
        </w:tc>
        <w:tc>
          <w:tcPr/>
          <w:p>
            <w:pPr>
              <w:pStyle w:val="Compact"/>
            </w:pPr>
            <w:r>
              <w:t xml:space="preserve">Bitácora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usuario.borrado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userController</w:t>
            </w:r>
            <w:r>
              <w:t xml:space="preserve"> </w:t>
            </w:r>
            <w:r>
              <w:t xml:space="preserve">(baja propia o por admin)</w:t>
            </w:r>
          </w:p>
        </w:tc>
        <w:tc>
          <w:tcPr/>
          <w:p>
            <w:pPr>
              <w:pStyle w:val="Compact"/>
            </w:pPr>
            <w:r>
              <w:t xml:space="preserve">Bitácora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integridad.alterada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integridadController</w:t>
            </w:r>
          </w:p>
        </w:tc>
        <w:tc>
          <w:tcPr/>
          <w:p>
            <w:pPr>
              <w:pStyle w:val="Compact"/>
            </w:pPr>
            <w:r>
              <w:t xml:space="preserve">Bitácora</w:t>
            </w:r>
          </w:p>
        </w:tc>
      </w:tr>
    </w:tbl>
    <w:p>
      <w:pPr>
        <w:pStyle w:val="BodyText"/>
      </w:pPr>
      <w:r>
        <w:t xml:space="preserve">El suscriptor de alertas calcula la adherencia semanal y, si baja del 50% con al menos 3 días contados, registra una alerta (y manda un mail si hay SMTP), como mucho una vez por día (RF10 parcial).</w:t>
      </w:r>
    </w:p>
    <w:p>
      <w:pPr>
        <w:pStyle w:val="BodyText"/>
      </w:pPr>
      <w:r>
        <w:rPr>
          <w:b/>
          <w:bCs/>
        </w:rPr>
        <w:t xml:space="preserve">Dónde.</w:t>
      </w:r>
      <w:r>
        <w:t xml:space="preserve"> </w:t>
      </w:r>
      <w:r>
        <w:rPr>
          <w:rStyle w:val="VerbatimChar"/>
        </w:rPr>
        <w:t xml:space="preserve">services/eventos.js</w:t>
      </w:r>
      <w:r>
        <w:t xml:space="preserve"> </w:t>
      </w:r>
      <w:r>
        <w:t xml:space="preserve">(el bus) y</w:t>
      </w:r>
      <w:r>
        <w:t xml:space="preserve"> </w:t>
      </w:r>
      <w:r>
        <w:rPr>
          <w:rStyle w:val="VerbatimChar"/>
        </w:rPr>
        <w:t xml:space="preserve">services/suscriptores/</w:t>
      </w:r>
      <w:r>
        <w:t xml:space="preserve"> </w:t>
      </w:r>
      <w:r>
        <w:t xml:space="preserve">(</w:t>
      </w:r>
      <w:r>
        <w:rPr>
          <w:rStyle w:val="VerbatimChar"/>
        </w:rPr>
        <w:t xml:space="preserve">bitacoraEventos.js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alertasAdherencia.js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).</w:t>
      </w:r>
    </w:p>
    <w:p>
      <w:pPr>
        <w:pStyle w:val="BodyText"/>
      </w:pPr>
      <w:r>
        <w:drawing>
          <wp:inline>
            <wp:extent cx="5334000" cy="25377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:/Users/Mauro/AppData/Local/Temp/claude/C--Users-Mauro-carpetaFitPocket-FitPocket/4ce13e56-386c-4878-8887-899aa1fb1519/scratchpad/word/mermaid/patrones-de-diseno-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7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Detalle importante.</w:t>
      </w:r>
      <w:r>
        <w:t xml:space="preserve"> </w:t>
      </w:r>
      <w:r>
        <w:t xml:space="preserve">Un suscriptor que falla registra el error pero no afecta la respuesta al usuario ni a los demás suscriptores (hay un test que lo comprueba).</w:t>
      </w:r>
    </w:p>
    <w:p>
      <w:r>
        <w:pict>
          <v:rect style="width:0;height:1.5pt" o:hralign="center" o:hrstd="t" o:hr="t"/>
        </w:pict>
      </w:r>
    </w:p>
    <w:bookmarkEnd w:id="26"/>
    <w:bookmarkStart w:id="27" w:name="singleton"/>
    <w:p>
      <w:pPr>
        <w:pStyle w:val="Heading2"/>
      </w:pPr>
      <w:r>
        <w:t xml:space="preserve">Singleton</w:t>
      </w:r>
    </w:p>
    <w:p>
      <w:pPr>
        <w:pStyle w:val="FirstParagraph"/>
      </w:pPr>
      <w:r>
        <w:rPr>
          <w:b/>
          <w:bCs/>
        </w:rPr>
        <w:t xml:space="preserve">Problema.</w:t>
      </w:r>
      <w:r>
        <w:t xml:space="preserve"> </w:t>
      </w:r>
      <w:r>
        <w:t xml:space="preserve">Algunos recursos tienen que existir una sola vez por proceso: abrir dos conexiones a la base, o crear un transporter SMTP por cada mail, desperdicia conexiones; y si hubiera dos buses de eventos, los suscriptores de uno no oirían lo que se emite en el otro.</w:t>
      </w:r>
    </w:p>
    <w:p>
      <w:pPr>
        <w:pStyle w:val="BodyText"/>
      </w:pPr>
      <w:r>
        <w:rPr>
          <w:b/>
          <w:bCs/>
        </w:rPr>
        <w:t xml:space="preserve">Solución y dónde.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Conexión a la 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config/db.js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connectDB()</w:t>
      </w:r>
      <w:r>
        <w:t xml:space="preserve"> </w:t>
      </w:r>
      <w:r>
        <w:t xml:space="preserve">guarda la promesa de la primera conexión y la devuelve en cada llamada siguiente, sin reconectar.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Transporter de mail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services/mailService.js</w:t>
      </w:r>
      <w:r>
        <w:t xml:space="preserve">): se crea en el primer envío y se reutiliza (nodemailer mantiene la conexión).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Bus de eventos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services/eventos.js</w:t>
      </w:r>
      <w:r>
        <w:t xml:space="preserve">): el módulo exporta una única instancia; Node guarda en caché los módulos, así que todos los que lo importan comparten la misma.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Estrategia de IA</w:t>
      </w:r>
      <w:r>
        <w:t xml:space="preserve"> </w:t>
      </w:r>
      <w:r>
        <w:t xml:space="preserve">(</w:t>
      </w:r>
      <w:r>
        <w:rPr>
          <w:rStyle w:val="VerbatimChar"/>
        </w:rPr>
        <w:t xml:space="preserve">iaFactory.obtenerEstrategiaIA()</w:t>
      </w:r>
      <w:r>
        <w:t xml:space="preserve">): una por proceso, así Groq reutiliza su cliente HTTP.</w:t>
      </w:r>
    </w:p>
    <w:p>
      <w:pPr>
        <w:pStyle w:val="FirstParagraph"/>
      </w:pPr>
      <w:r>
        <w:rPr>
          <w:b/>
          <w:bCs/>
        </w:rPr>
        <w:t xml:space="preserve">Por qué este patrón.</w:t>
      </w:r>
      <w:r>
        <w:t xml:space="preserve"> </w:t>
      </w:r>
      <w:r>
        <w:t xml:space="preserve">Es la forma más simple de garantizar un recurso único; en Node se apoya en la caché de módulos, sin necesidad de clases con constructor privado.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2026-10-29T12:24:57Z</dcterms:created>
  <dcterms:modified xsi:type="dcterms:W3CDTF">2026-10-29T12:24:57Z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