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iagrama-general-de-casos-de-uso"/>
    <w:p>
      <w:pPr>
        <w:pStyle w:val="Heading1"/>
      </w:pPr>
      <w:r>
        <w:t xml:space="preserve">Diagrama general de casos de uso</w:t>
      </w:r>
    </w:p>
    <w:p>
      <w:pPr>
        <w:pStyle w:val="FirstParagraph"/>
      </w:pPr>
      <w:r>
        <w:t xml:space="preserve">Reemplaza al diagrama original, que tenía el actor "Sistema N8N / IA". n8n ya no forma parte del proyecto: la lógica vive en el backend propio y la IA es un servicio externo (Groq).</w:t>
      </w:r>
    </w:p>
    <w:p>
      <w:pPr>
        <w:pStyle w:val="BodyText"/>
      </w:pPr>
      <w:r>
        <w:t xml:space="preserve">Mermaid no tiene un tipo de diagrama de casos de uso, así que se dibuja con un diagrama de flujo: los actores van afuera del rectángulo del sistema y los casos de uso son las formas redondeadas de adentro. Los casos</w:t>
      </w:r>
      <w:r>
        <w:t xml:space="preserve"> </w:t>
      </w:r>
      <w:r>
        <w:rPr>
          <w:b/>
          <w:bCs/>
        </w:rPr>
        <w:t xml:space="preserve">en gris</w:t>
      </w:r>
      <w:r>
        <w:t xml:space="preserve"> </w:t>
      </w:r>
      <w:r>
        <w:t xml:space="preserve">todavía no están desarrollados; la tabla de abajo indica el estado de cada uno.</w:t>
      </w:r>
    </w:p>
    <w:p>
      <w:pPr>
        <w:pStyle w:val="BodyText"/>
      </w:pPr>
      <w:r>
        <w:drawing>
          <wp:inline>
            <wp:extent cx="5334000" cy="734105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diagrama-general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41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Cómo leer las relaciones: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Administrador "es un" Usuario registrado:</w:t>
      </w:r>
      <w:r>
        <w:t xml:space="preserve"> </w:t>
      </w:r>
      <w:r>
        <w:t xml:space="preserve">la familia Administrador incluye a la familia Usuario, así que el administrador también puede hacer todo lo del usuario.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«include»:</w:t>
      </w:r>
      <w:r>
        <w:t xml:space="preserve"> </w:t>
      </w:r>
      <w:r>
        <w:t xml:space="preserve">terminar el onboarding</w:t>
      </w:r>
      <w:r>
        <w:t xml:space="preserve"> </w:t>
      </w:r>
      <w:r>
        <w:rPr>
          <w:i/>
          <w:iCs/>
        </w:rPr>
        <w:t xml:space="preserve">siempre</w:t>
      </w:r>
      <w:r>
        <w:t xml:space="preserve"> </w:t>
      </w:r>
      <w:r>
        <w:t xml:space="preserve">dispara la generación del plan; restaurar un backup</w:t>
      </w:r>
      <w:r>
        <w:t xml:space="preserve"> </w:t>
      </w:r>
      <w:r>
        <w:rPr>
          <w:i/>
          <w:iCs/>
        </w:rPr>
        <w:t xml:space="preserve">siempre</w:t>
      </w:r>
      <w:r>
        <w:t xml:space="preserve"> </w:t>
      </w:r>
      <w:r>
        <w:t xml:space="preserve">termina con un recálculo de los dígitos verificadores.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«extend»:</w:t>
      </w:r>
      <w:r>
        <w:t xml:space="preserve"> </w:t>
      </w:r>
      <w:r>
        <w:t xml:space="preserve">recalcular es una extensión opcional de verificar (se hace después de revisar una alteración); la alerta de adherencia se dispara solo a veces al registrar un checkin (si la semana baja del 50% con 3 días o más).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CU15 Recibir alerta</w:t>
      </w:r>
      <w:r>
        <w:t xml:space="preserve"> </w:t>
      </w:r>
      <w:r>
        <w:t xml:space="preserve">apunta hacia el usuario porque lo inicia el sistema, no el usuario.</w:t>
      </w:r>
    </w:p>
    <w:bookmarkStart w:id="13" w:name="estado-de-cada-caso"/>
    <w:p>
      <w:pPr>
        <w:pStyle w:val="Heading2"/>
      </w:pPr>
      <w:r>
        <w:t xml:space="preserve">Estado de cada caso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CU01 Ver página de inicio</w:t>
            </w:r>
          </w:p>
        </w:tc>
        <w:tc>
          <w:tcPr/>
          <w:p>
            <w:pPr>
              <w:pStyle w:val="Compact"/>
            </w:pPr>
            <w:r>
              <w:t xml:space="preserve">Invitado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CU02 Calcular IMC (invitado)</w:t>
            </w:r>
          </w:p>
        </w:tc>
        <w:tc>
          <w:tcPr/>
          <w:p>
            <w:pPr>
              <w:pStyle w:val="Compact"/>
            </w:pPr>
            <w:r>
              <w:t xml:space="preserve">Invitado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CU03 Registrarse</w:t>
            </w:r>
          </w:p>
        </w:tc>
        <w:tc>
          <w:tcPr/>
          <w:p>
            <w:pPr>
              <w:pStyle w:val="Compact"/>
            </w:pPr>
            <w:r>
              <w:t xml:space="preserve">Invitado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CU04 Iniciar sesión</w:t>
            </w:r>
          </w:p>
        </w:tc>
        <w:tc>
          <w:tcPr/>
          <w:p>
            <w:pPr>
              <w:pStyle w:val="Compact"/>
            </w:pPr>
            <w:r>
              <w:t xml:space="preserve">Invitado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CU05/06 Completar onboarding (4 pasos)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CU07 Generar plan con IA</w:t>
            </w:r>
          </w:p>
        </w:tc>
        <w:tc>
          <w:tcPr/>
          <w:p>
            <w:pPr>
              <w:pStyle w:val="Compact"/>
            </w:pPr>
            <w:r>
              <w:t xml:space="preserve">Usuario, Servicio de IA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CU08 Ver plan semanal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CU09 Ver IMC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CU10 Ver y editar perfil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Parcial (el backend lo permite; falta la pantalla)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CU11 Cerrar sesión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CU12 Completar checklist diario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CU13 Registrar peso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CU14 Ver progreso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Parcial (adherencia sí; gráfico de peso 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CU15 Recibir alerta de adherencia</w:t>
            </w:r>
          </w:p>
        </w:tc>
        <w:tc>
          <w:tcPr/>
          <w:p>
            <w:pPr>
              <w:pStyle w:val="Compact"/>
            </w:pPr>
            <w:r>
              <w:t xml:space="preserve">Sistema → Usuario</w:t>
            </w:r>
          </w:p>
        </w:tc>
        <w:tc>
          <w:tcPr/>
          <w:p>
            <w:pPr>
              <w:pStyle w:val="Compact"/>
            </w:pPr>
            <w:r>
              <w:t xml:space="preserve">Parcial (alerta registrada y mail con SMTP; falta push)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CU16 Regenerar plan automáticamente</w:t>
            </w:r>
          </w:p>
        </w:tc>
        <w:tc>
          <w:tcPr/>
          <w:p>
            <w:pPr>
              <w:pStyle w:val="Compact"/>
            </w:pPr>
            <w:r>
              <w:t xml:space="preserve">Sistema, Servicio de IA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CU17 Modificar plan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Parcial (reemplazo de ejercicios)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CU18 Exportar progreso (PNG)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CU19 Enviar sugerencias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CU20 Recuperar contraseña</w:t>
            </w:r>
          </w:p>
        </w:tc>
        <w:tc>
          <w:tcPr/>
          <w:p>
            <w:pPr>
              <w:pStyle w:val="Compact"/>
            </w:pPr>
            <w:r>
              <w:t xml:space="preserve">Invitado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CU21 Cambiar un ejercicio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CU22 Cambiar idioma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CU23 Borrar mi cuenta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CU24 Gestionar usuarios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CU25 Gestionar familias y permisos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CU26 Verificar integridad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CU27 Recalcular dígitos verificadores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CU28 Consultar bitácora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CU29 Generar backup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CU30 Restaurar backup</w:t>
            </w:r>
          </w:p>
        </w:tc>
        <w:tc>
          <w:tcPr/>
          <w:p>
            <w:pPr>
              <w:pStyle w:val="Compact"/>
            </w:pPr>
            <w:r>
              <w:t xml:space="preserve">Administrador (por consola)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CU31 Consultar ayuda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</w:tbl>
    <w:p>
      <w:pPr>
        <w:pStyle w:val="BodyText"/>
      </w:pPr>
      <w:r>
        <w:t xml:space="preserve">Los casos del administrador en realidad dependen de</w:t>
      </w:r>
      <w:r>
        <w:t xml:space="preserve"> </w:t>
      </w:r>
      <w:r>
        <w:rPr>
          <w:b/>
          <w:bCs/>
        </w:rPr>
        <w:t xml:space="preserve">patentes</w:t>
      </w:r>
      <w:r>
        <w:t xml:space="preserve">, no de un rol fijo: un usuario con la familia "Auditor" (</w:t>
      </w:r>
      <w:r>
        <w:rPr>
          <w:rStyle w:val="VerbatimChar"/>
        </w:rPr>
        <w:t xml:space="preserve">bitacora.ver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integridad.verificar</w:t>
      </w:r>
      <w:r>
        <w:t xml:space="preserve">) puede hacer CU26 y CU28 sin ser administrador. El diagrama muestra la configuración por defecto.</w:t>
      </w:r>
    </w:p>
    <w:p>
      <w:pPr>
        <w:pStyle w:val="BodyText"/>
      </w:pPr>
      <w:r>
        <w:t xml:space="preserve">La especificación completa de los casos principales está en</w:t>
      </w:r>
      <w:r>
        <w:t xml:space="preserve"> </w:t>
      </w:r>
      <w:hyperlink r:id="rId12">
        <w:r>
          <w:rPr>
            <w:rStyle w:val="VerbatimChar"/>
          </w:rPr>
          <w:t xml:space="preserve">especificaciones.docx</w:t>
        </w:r>
      </w:hyperlink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especificacion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specificacione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2026-10-29T12:25:00Z</dcterms:created>
  <dcterms:modified xsi:type="dcterms:W3CDTF">2026-10-29T12:25:00Z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