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4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29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  <Override PartName="/word/media/rId157.png" ContentType="image/png"/>
  <Override PartName="/word/media/rId161.png" ContentType="image/png"/>
  <Override PartName="/word/media/rId165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лобораторной работе №9</w:t>
      </w:r>
    </w:p>
    <w:p>
      <w:pPr>
        <w:pStyle w:val="Subtitle"/>
      </w:pPr>
      <w:r>
        <w:t xml:space="preserve">Понятие подпрограммы. Отладчик GDB.</w:t>
      </w:r>
    </w:p>
    <w:p>
      <w:pPr>
        <w:pStyle w:val="Author"/>
      </w:pPr>
      <w:r>
        <w:t xml:space="preserve">Мещерякова София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навыков написания программ с использованием подпрограмм. Знакомство</w:t>
      </w:r>
      <w:r>
        <w:t xml:space="preserve"> </w:t>
      </w:r>
      <w:r>
        <w:t xml:space="preserve">с методами отладки при помощи GDB и его основными возможностями.</w:t>
      </w:r>
    </w:p>
    <w:bookmarkEnd w:id="20"/>
    <w:bookmarkStart w:id="17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1" w:name="реализация-подпрограмм-в-nasm"/>
    <w:p>
      <w:pPr>
        <w:pStyle w:val="Heading2"/>
      </w:pPr>
      <w:r>
        <w:t xml:space="preserve">2.1 Реализация подпрограмм в NASM</w:t>
      </w:r>
    </w:p>
    <w:p>
      <w:pPr>
        <w:pStyle w:val="Compact"/>
        <w:numPr>
          <w:ilvl w:val="0"/>
          <w:numId w:val="1001"/>
        </w:numPr>
      </w:pPr>
      <w:r>
        <w:t xml:space="preserve">Создадим каталог для программ лабораторной работы № 9, перейдём в него и</w:t>
      </w:r>
      <w:r>
        <w:t xml:space="preserve"> </w:t>
      </w:r>
      <w:r>
        <w:t xml:space="preserve">создадим файл lab09-1.asm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4800600" cy="44967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496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Создаем каталог и файл для лабораторной работы №9</w:t>
            </w:r>
          </w:p>
          <w:bookmarkEnd w:id="24"/>
        </w:tc>
      </w:tr>
    </w:tbl>
    <w:p>
      <w:pPr>
        <w:pStyle w:val="BodyText"/>
      </w:pPr>
      <w:r>
        <w:t xml:space="preserve">Открываем файл и вводим программу из листинга 9.1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4800600" cy="540129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Текст программы (Листинг 9.1)</w:t>
            </w:r>
          </w:p>
          <w:bookmarkEnd w:id="28"/>
        </w:tc>
      </w:tr>
    </w:tbl>
    <w:p>
      <w:pPr>
        <w:pStyle w:val="BodyText"/>
      </w:pPr>
      <w:r>
        <w:t xml:space="preserve">Создаем исполняемый файл и запускаем его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4800600" cy="66119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611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Запуск программы</w:t>
            </w:r>
          </w:p>
          <w:bookmarkEnd w:id="32"/>
        </w:tc>
      </w:tr>
    </w:tbl>
    <w:p>
      <w:pPr>
        <w:pStyle w:val="BodyText"/>
      </w:pPr>
      <w:r>
        <w:t xml:space="preserve">Изменяем файл, добавив подпрограмму _subcalcul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4800600" cy="5401295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Текст программы</w:t>
            </w:r>
          </w:p>
          <w:bookmarkEnd w:id="36"/>
        </w:tc>
      </w:tr>
    </w:tbl>
    <w:p>
      <w:pPr>
        <w:pStyle w:val="BodyText"/>
      </w:pPr>
      <w:r>
        <w:t xml:space="preserve">Создаем исполняемый файл и запускаем его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4800600" cy="661193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611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Запуск программы</w:t>
            </w:r>
          </w:p>
          <w:bookmarkEnd w:id="40"/>
        </w:tc>
      </w:tr>
    </w:tbl>
    <w:bookmarkEnd w:id="41"/>
    <w:bookmarkStart w:id="169" w:name="отладка-программам-с-помощью-gdb"/>
    <w:p>
      <w:pPr>
        <w:pStyle w:val="Heading2"/>
      </w:pPr>
      <w:r>
        <w:t xml:space="preserve">2.2 Отладка программам с помощью GDB</w:t>
      </w:r>
    </w:p>
    <w:p>
      <w:pPr>
        <w:pStyle w:val="FirstParagraph"/>
      </w:pPr>
      <w:r>
        <w:t xml:space="preserve">Создадим файл lab09-2.asm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4800600" cy="163843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638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Запуск программы</w:t>
            </w:r>
          </w:p>
          <w:bookmarkEnd w:id="45"/>
        </w:tc>
      </w:tr>
    </w:tbl>
    <w:p>
      <w:pPr>
        <w:pStyle w:val="BodyText"/>
      </w:pPr>
      <w:r>
        <w:t xml:space="preserve">Открываем файл и вводим программу из листинга 9.2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4800600" cy="5401295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Текст программы (Листинг 9.2)</w:t>
            </w:r>
          </w:p>
          <w:bookmarkEnd w:id="49"/>
        </w:tc>
      </w:tr>
    </w:tbl>
    <w:p>
      <w:pPr>
        <w:pStyle w:val="BodyText"/>
      </w:pPr>
      <w:r>
        <w:t xml:space="preserve">Получим исходный файл с использованием отладчика gdb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4800600" cy="2862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86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Получаем исполняемый файл</w:t>
            </w:r>
          </w:p>
          <w:bookmarkEnd w:id="53"/>
        </w:tc>
      </w:tr>
    </w:tbl>
    <w:p>
      <w:pPr>
        <w:pStyle w:val="BodyText"/>
      </w:pPr>
      <w:r>
        <w:t xml:space="preserve">Загрузим файл в отладчик и запустим в нем программу (</w:t>
      </w:r>
      <w:r>
        <w:rPr>
          <w:b/>
          <w:bCs/>
        </w:rPr>
        <w:t xml:space="preserve">?@fig-009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10"/>
          <w:p>
            <w:pPr>
              <w:pStyle w:val="Compact"/>
              <w:jc w:val="center"/>
            </w:pPr>
            <w:r>
              <w:drawing>
                <wp:inline>
                  <wp:extent cx="4800600" cy="1027918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027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Запуск файла в отладчике (команда run)</w:t>
            </w:r>
          </w:p>
          <w:bookmarkEnd w:id="57"/>
        </w:tc>
      </w:tr>
    </w:tbl>
    <w:p>
      <w:pPr>
        <w:pStyle w:val="BodyText"/>
      </w:pPr>
      <w:r>
        <w:t xml:space="preserve">Устанавливаем брейкпоинт на метку _start и запускаем программу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4800600" cy="1027918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027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Установка брейкпоинта</w:t>
            </w:r>
          </w:p>
          <w:bookmarkEnd w:id="60"/>
        </w:tc>
      </w:tr>
    </w:tbl>
    <w:p>
      <w:pPr>
        <w:pStyle w:val="BodyText"/>
      </w:pPr>
      <w:r>
        <w:t xml:space="preserve">Смотрим дисассимилированный код программы, начиная с метки _start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4800600" cy="3430368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303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Дисассимилированный код программы</w:t>
            </w:r>
          </w:p>
          <w:bookmarkEnd w:id="64"/>
        </w:tc>
      </w:tr>
    </w:tbl>
    <w:p>
      <w:pPr>
        <w:pStyle w:val="BodyText"/>
      </w:pPr>
      <w:r>
        <w:t xml:space="preserve">Переключаемся на отображение команд с Intel’овским синтаксисом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4800600" cy="3624357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6243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Синтаксис Intel</w:t>
            </w:r>
          </w:p>
          <w:bookmarkEnd w:id="68"/>
        </w:tc>
      </w:tr>
    </w:tbl>
    <w:p>
      <w:pPr>
        <w:pStyle w:val="BodyText"/>
      </w:pPr>
      <w:r>
        <w:t xml:space="preserve">Различия отображения синтаксиса машинных команд в режимах ATT и Intel:</w:t>
      </w:r>
    </w:p>
    <w:p>
      <w:pPr>
        <w:numPr>
          <w:ilvl w:val="0"/>
          <w:numId w:val="1002"/>
        </w:numPr>
      </w:pPr>
      <w:r>
        <w:t xml:space="preserve">Порядок операндов:</w:t>
      </w:r>
    </w:p>
    <w:p>
      <w:pPr>
        <w:numPr>
          <w:ilvl w:val="0"/>
          <w:numId w:val="1000"/>
        </w:numPr>
      </w:pPr>
      <w:r>
        <w:t xml:space="preserve">ATT: исходный операнд, затем результирующий, Intel: результирующий операнд, затем исходный.</w:t>
      </w:r>
    </w:p>
    <w:p>
      <w:pPr>
        <w:numPr>
          <w:ilvl w:val="0"/>
          <w:numId w:val="1002"/>
        </w:numPr>
      </w:pPr>
      <w:r>
        <w:t xml:space="preserve">Разделители:</w:t>
      </w:r>
    </w:p>
    <w:p>
      <w:pPr>
        <w:numPr>
          <w:ilvl w:val="0"/>
          <w:numId w:val="1000"/>
        </w:numPr>
      </w:pPr>
      <w:r>
        <w:t xml:space="preserve">ATT: запятые, Intel: запятые или косые черты (/).</w:t>
      </w:r>
    </w:p>
    <w:p>
      <w:pPr>
        <w:numPr>
          <w:ilvl w:val="0"/>
          <w:numId w:val="1002"/>
        </w:numPr>
      </w:pPr>
      <w:r>
        <w:t xml:space="preserve">Указание размера операндов:</w:t>
      </w:r>
    </w:p>
    <w:p>
      <w:pPr>
        <w:numPr>
          <w:ilvl w:val="0"/>
          <w:numId w:val="1000"/>
        </w:numPr>
      </w:pPr>
      <w:r>
        <w:t xml:space="preserve">ATT: префиксы перед операндом (b, w, l, q), Intel: суффиксы после операнда (b, w, d, q).</w:t>
      </w:r>
    </w:p>
    <w:p>
      <w:pPr>
        <w:numPr>
          <w:ilvl w:val="0"/>
          <w:numId w:val="1002"/>
        </w:numPr>
      </w:pPr>
      <w:r>
        <w:t xml:space="preserve">Знак операндов:</w:t>
      </w:r>
    </w:p>
    <w:p>
      <w:pPr>
        <w:numPr>
          <w:ilvl w:val="0"/>
          <w:numId w:val="1000"/>
        </w:numPr>
      </w:pPr>
      <w:r>
        <w:t xml:space="preserve">ATT: положительные значения начинаются с $, Intel: положительные значения без $.</w:t>
      </w:r>
    </w:p>
    <w:p>
      <w:pPr>
        <w:numPr>
          <w:ilvl w:val="0"/>
          <w:numId w:val="1002"/>
        </w:numPr>
      </w:pPr>
      <w:r>
        <w:t xml:space="preserve">Обозначение адресов:</w:t>
      </w:r>
    </w:p>
    <w:p>
      <w:pPr>
        <w:numPr>
          <w:ilvl w:val="0"/>
          <w:numId w:val="1000"/>
        </w:numPr>
      </w:pPr>
      <w:r>
        <w:t xml:space="preserve">ATT: в круглых скобках, Intel: без скобок.</w:t>
      </w:r>
    </w:p>
    <w:p>
      <w:pPr>
        <w:numPr>
          <w:ilvl w:val="0"/>
          <w:numId w:val="1002"/>
        </w:numPr>
      </w:pPr>
      <w:r>
        <w:t xml:space="preserve">Обозначение регистров:</w:t>
      </w:r>
    </w:p>
    <w:p>
      <w:pPr>
        <w:numPr>
          <w:ilvl w:val="0"/>
          <w:numId w:val="1000"/>
        </w:numPr>
      </w:pPr>
      <w:r>
        <w:t xml:space="preserve">ATT: с символом % (например, %eax), Intel: без %, может начинаться с R или E (например, RAX, EAX).</w:t>
      </w:r>
    </w:p>
    <w:p>
      <w:pPr>
        <w:pStyle w:val="FirstParagraph"/>
      </w:pPr>
      <w:r>
        <w:t xml:space="preserve">Включаем режим псевдографики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4800600" cy="5401295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Отображение регистров и их значений, результат дисассимилирования программы</w:t>
            </w:r>
          </w:p>
          <w:bookmarkEnd w:id="72"/>
        </w:tc>
      </w:tr>
    </w:tbl>
    <w:p>
      <w:pPr>
        <w:pStyle w:val="BodyText"/>
      </w:pPr>
      <w:r>
        <w:t xml:space="preserve">Проверяем была ли установлена точка остановки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4800600" cy="587702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877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info breakpoints - для просмотра информации о о точках останова</w:t>
            </w:r>
          </w:p>
          <w:bookmarkEnd w:id="76"/>
        </w:tc>
      </w:tr>
    </w:tbl>
    <w:p>
      <w:pPr>
        <w:pStyle w:val="BodyText"/>
      </w:pPr>
      <w:r>
        <w:t xml:space="preserve">Установим еще один брейкпоинт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4800600" cy="328299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82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Новый брейкпоинт</w:t>
            </w:r>
          </w:p>
          <w:bookmarkEnd w:id="80"/>
        </w:tc>
      </w:tr>
    </w:tbl>
    <w:p>
      <w:pPr>
        <w:pStyle w:val="BodyText"/>
      </w:pPr>
      <w:r>
        <w:t xml:space="preserve">Посмотрим информацию о всех установленных точках останова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4800600" cy="847164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8471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Информация о брейкпоинтах</w:t>
            </w:r>
          </w:p>
          <w:bookmarkEnd w:id="84"/>
        </w:tc>
      </w:tr>
    </w:tbl>
    <w:p>
      <w:pPr>
        <w:pStyle w:val="BodyText"/>
      </w:pPr>
      <w:r>
        <w:t xml:space="preserve">Выполняем 5 инструкций командой si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4800600" cy="5401295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Отслеживаем значения регистров</w:t>
            </w:r>
          </w:p>
          <w:bookmarkEnd w:id="88"/>
        </w:tc>
      </w:tr>
    </w:tbl>
    <w:p>
      <w:pPr>
        <w:pStyle w:val="BodyText"/>
      </w:pPr>
      <w:r>
        <w:t xml:space="preserve">Во время выполнения команд менялись регистры: ebx, ecx, edx, eax, eip.</w:t>
      </w:r>
    </w:p>
    <w:p>
      <w:pPr>
        <w:pStyle w:val="BodyText"/>
      </w:pPr>
      <w:r>
        <w:t xml:space="preserve">Смотрим значение переменной msg1 по имени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4800600" cy="313082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130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Значение переменной msg1</w:t>
            </w:r>
          </w:p>
          <w:bookmarkEnd w:id="92"/>
        </w:tc>
      </w:tr>
    </w:tbl>
    <w:p>
      <w:pPr>
        <w:pStyle w:val="BodyText"/>
      </w:pPr>
      <w:r>
        <w:t xml:space="preserve">Смотрим значение переменной msg2 по адресу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9"/>
          <w:p>
            <w:pPr>
              <w:pStyle w:val="Compact"/>
              <w:jc w:val="center"/>
            </w:pPr>
            <w:r>
              <w:drawing>
                <wp:inline>
                  <wp:extent cx="4800600" cy="313082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130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Значение переменной msg2</w:t>
            </w:r>
          </w:p>
          <w:bookmarkEnd w:id="96"/>
        </w:tc>
      </w:tr>
    </w:tbl>
    <w:p>
      <w:pPr>
        <w:pStyle w:val="BodyText"/>
      </w:pPr>
      <w:r>
        <w:t xml:space="preserve">Изменим первый символ переменной msg1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20"/>
          <w:p>
            <w:pPr>
              <w:pStyle w:val="Compact"/>
              <w:jc w:val="center"/>
            </w:pPr>
            <w:r>
              <w:drawing>
                <wp:inline>
                  <wp:extent cx="4800600" cy="454602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54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Изменение значения переменной msg1</w:t>
            </w:r>
          </w:p>
          <w:bookmarkEnd w:id="100"/>
        </w:tc>
      </w:tr>
    </w:tbl>
    <w:p>
      <w:pPr>
        <w:pStyle w:val="BodyText"/>
      </w:pPr>
      <w:r>
        <w:t xml:space="preserve">Изменим первый символ переменной msg2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1"/>
          <w:p>
            <w:pPr>
              <w:pStyle w:val="Compact"/>
              <w:jc w:val="center"/>
            </w:pPr>
            <w:r>
              <w:drawing>
                <wp:inline>
                  <wp:extent cx="4800600" cy="454602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54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Изменение значения переменной msg2</w:t>
            </w:r>
          </w:p>
          <w:bookmarkEnd w:id="104"/>
        </w:tc>
      </w:tr>
    </w:tbl>
    <w:p>
      <w:pPr>
        <w:pStyle w:val="BodyText"/>
      </w:pPr>
      <w:r>
        <w:t xml:space="preserve">Смотрим значение регистра edx в разных форматах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2"/>
          <w:p>
            <w:pPr>
              <w:pStyle w:val="Compact"/>
              <w:jc w:val="center"/>
            </w:pPr>
            <w:r>
              <w:drawing>
                <wp:inline>
                  <wp:extent cx="4800600" cy="82558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8255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Значение регистра edx</w:t>
            </w:r>
          </w:p>
          <w:bookmarkEnd w:id="108"/>
        </w:tc>
      </w:tr>
    </w:tbl>
    <w:p>
      <w:pPr>
        <w:pStyle w:val="BodyText"/>
      </w:pPr>
      <w:r>
        <w:t xml:space="preserve">Изменяем регистор ebx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3"/>
          <w:p>
            <w:pPr>
              <w:pStyle w:val="Compact"/>
              <w:jc w:val="center"/>
            </w:pPr>
            <w:r>
              <w:drawing>
                <wp:inline>
                  <wp:extent cx="4800600" cy="847914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8479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Изменения регистра ebx</w:t>
            </w:r>
          </w:p>
          <w:bookmarkEnd w:id="112"/>
        </w:tc>
      </w:tr>
    </w:tbl>
    <w:p>
      <w:pPr>
        <w:pStyle w:val="BodyText"/>
      </w:pPr>
      <w:r>
        <w:t xml:space="preserve">Выводится разные значения, так как команда без кевычек присваивает регистру числовое значение (его и выводит), а</w:t>
      </w:r>
      <w:r>
        <w:t xml:space="preserve"> </w:t>
      </w:r>
      <w:r>
        <w:t xml:space="preserve">‘2’</w:t>
      </w:r>
      <w:r>
        <w:t xml:space="preserve">- строковое значение.</w:t>
      </w:r>
    </w:p>
    <w:p>
      <w:pPr>
        <w:pStyle w:val="BodyText"/>
      </w:pPr>
      <w:r>
        <w:t xml:space="preserve">Прописываем команды для завершения программы и выхода из GDB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4"/>
          <w:p>
            <w:pPr>
              <w:pStyle w:val="Compact"/>
              <w:jc w:val="center"/>
            </w:pPr>
            <w:r>
              <w:drawing>
                <wp:inline>
                  <wp:extent cx="4800600" cy="897308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8973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Выход из gdb (команды c и q)</w:t>
            </w:r>
          </w:p>
          <w:bookmarkEnd w:id="116"/>
        </w:tc>
      </w:tr>
    </w:tbl>
    <w:p>
      <w:pPr>
        <w:pStyle w:val="BodyText"/>
      </w:pPr>
      <w:r>
        <w:t xml:space="preserve">Копируем файл lab8-2.asm в файл с именем lab09-3.asm0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5"/>
          <w:p>
            <w:pPr>
              <w:pStyle w:val="Compact"/>
              <w:jc w:val="center"/>
            </w:pPr>
            <w:r>
              <w:drawing>
                <wp:inline>
                  <wp:extent cx="4800600" cy="239249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392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Копирование файла</w:t>
            </w:r>
          </w:p>
          <w:bookmarkEnd w:id="120"/>
        </w:tc>
      </w:tr>
    </w:tbl>
    <w:p>
      <w:pPr>
        <w:pStyle w:val="BodyText"/>
      </w:pPr>
      <w:r>
        <w:t xml:space="preserve">Создадим исполняемый файл и загрузим его в отладчик GDB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 </w:t>
      </w:r>
      <w:hyperlink w:anchor="fig-027">
        <w:r>
          <w:rPr>
            <w:rStyle w:val="Hyperlink"/>
          </w:rPr>
          <w:t xml:space="preserve">,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26"/>
          <w:p>
            <w:pPr>
              <w:pStyle w:val="Compact"/>
              <w:jc w:val="center"/>
            </w:pPr>
            <w:r>
              <w:drawing>
                <wp:inline>
                  <wp:extent cx="4800600" cy="239249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392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Создаем исполняемый файл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27"/>
          <w:p>
            <w:pPr>
              <w:pStyle w:val="Compact"/>
              <w:jc w:val="center"/>
            </w:pPr>
            <w:r>
              <w:drawing>
                <wp:inline>
                  <wp:extent cx="4800600" cy="239249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392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Згружаем файл в отладчик</w:t>
            </w:r>
          </w:p>
          <w:bookmarkEnd w:id="128"/>
        </w:tc>
      </w:tr>
    </w:tbl>
    <w:p>
      <w:pPr>
        <w:pStyle w:val="BodyText"/>
      </w:pPr>
      <w:r>
        <w:t xml:space="preserve">Установим точку останова перед первой инструкцией в программе и запустим ее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028"/>
          <w:p>
            <w:pPr>
              <w:pStyle w:val="Compact"/>
              <w:jc w:val="center"/>
            </w:pPr>
            <w:r>
              <w:drawing>
                <wp:inline>
                  <wp:extent cx="4800600" cy="1931948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9319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Создание брейкпоинта и запуск программы</w:t>
            </w:r>
          </w:p>
          <w:bookmarkEnd w:id="132"/>
        </w:tc>
      </w:tr>
    </w:tbl>
    <w:p>
      <w:pPr>
        <w:pStyle w:val="BodyText"/>
      </w:pPr>
      <w:r>
        <w:t xml:space="preserve">Смотрим адрес вершины стека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029"/>
          <w:p>
            <w:pPr>
              <w:pStyle w:val="Compact"/>
              <w:jc w:val="center"/>
            </w:pPr>
            <w:r>
              <w:drawing>
                <wp:inline>
                  <wp:extent cx="4800600" cy="284518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845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Создание брейкпоинта и запуск программы</w:t>
            </w:r>
          </w:p>
          <w:bookmarkEnd w:id="136"/>
        </w:tc>
      </w:tr>
    </w:tbl>
    <w:p>
      <w:pPr>
        <w:pStyle w:val="BodyText"/>
      </w:pPr>
      <w:r>
        <w:t xml:space="preserve">Смотрим значения стека по разным адресам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030"/>
          <w:p>
            <w:pPr>
              <w:pStyle w:val="Compact"/>
              <w:jc w:val="center"/>
            </w:pPr>
            <w:r>
              <w:drawing>
                <wp:inline>
                  <wp:extent cx="4800600" cy="1316016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316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Значения позиций стека</w:t>
            </w:r>
          </w:p>
          <w:bookmarkEnd w:id="140"/>
        </w:tc>
      </w:tr>
    </w:tbl>
    <w:p>
      <w:pPr>
        <w:pStyle w:val="BodyText"/>
      </w:pPr>
      <w:r>
        <w:t xml:space="preserve">Шаг изменения адреса равен 4 потому что адресные регистры имеют размерность 4 байта.</w:t>
      </w:r>
    </w:p>
    <w:p>
      <w:pPr>
        <w:pStyle w:val="BodyText"/>
      </w:pPr>
      <w:r>
        <w:t xml:space="preserve">##Задание для самостоятельной работы</w:t>
      </w:r>
    </w:p>
    <w:p>
      <w:pPr>
        <w:pStyle w:val="Compact"/>
        <w:numPr>
          <w:ilvl w:val="0"/>
          <w:numId w:val="1003"/>
        </w:numPr>
      </w:pPr>
      <w:r>
        <w:t xml:space="preserve">Преобразуйте программу из лабораторной работы №8 (Задание №1 для самостоятель-</w:t>
      </w:r>
      <w:r>
        <w:t xml:space="preserve"> </w:t>
      </w:r>
      <w:r>
        <w:t xml:space="preserve">ной работы), реализовав вычисление значения функции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как подпрограмму.</w:t>
      </w:r>
    </w:p>
    <w:p>
      <w:pPr>
        <w:pStyle w:val="FirstParagraph"/>
      </w:pPr>
      <w:r>
        <w:t xml:space="preserve">Открываем файл lab09-15.asm (копия файла lab8-15.asm) и изменим его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031"/>
          <w:p>
            <w:pPr>
              <w:pStyle w:val="Compact"/>
              <w:jc w:val="center"/>
            </w:pPr>
            <w:r>
              <w:drawing>
                <wp:inline>
                  <wp:extent cx="4800600" cy="5401295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Текст программы</w:t>
            </w:r>
          </w:p>
          <w:bookmarkEnd w:id="144"/>
        </w:tc>
      </w:tr>
    </w:tbl>
    <w:p>
      <w:pPr>
        <w:pStyle w:val="BodyText"/>
      </w:pPr>
      <w:r>
        <w:t xml:space="preserve">Создадим исполняемый файл и запустим его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032"/>
          <w:p>
            <w:pPr>
              <w:pStyle w:val="Compact"/>
              <w:jc w:val="center"/>
            </w:pPr>
            <w:r>
              <w:drawing>
                <wp:inline>
                  <wp:extent cx="4800600" cy="631371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313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Запуск программы</w:t>
            </w:r>
          </w:p>
          <w:bookmarkEnd w:id="148"/>
        </w:tc>
      </w:tr>
    </w:tbl>
    <w:p>
      <w:pPr>
        <w:pStyle w:val="Compact"/>
        <w:numPr>
          <w:ilvl w:val="0"/>
          <w:numId w:val="1004"/>
        </w:numPr>
      </w:pPr>
      <w:r>
        <w:t xml:space="preserve">В листинге 9.3 приведена программа вычисления выражения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∗</m:t>
        </m:r>
        <m:r>
          <m:t>4</m:t>
        </m:r>
        <m:r>
          <m:rPr>
            <m:sty m:val="p"/>
          </m:rPr>
          <m:t>+</m:t>
        </m:r>
        <m:r>
          <m:t>5</m:t>
        </m:r>
      </m:oMath>
      <w:r>
        <w:t xml:space="preserve">. При запуске данная программа дает неверный результат. Проверьте это. С помощью отладчика GDB, анализируя изменения значений регистров, определите ошибку и исправьте ее.</w:t>
      </w:r>
    </w:p>
    <w:p>
      <w:pPr>
        <w:pStyle w:val="FirstParagraph"/>
      </w:pPr>
      <w:r>
        <w:t xml:space="preserve">Создаем новый файл и вводим туда текст программы из листинга 9.3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033"/>
          <w:p>
            <w:pPr>
              <w:pStyle w:val="Compact"/>
              <w:jc w:val="center"/>
            </w:pPr>
            <w:r>
              <w:drawing>
                <wp:inline>
                  <wp:extent cx="4800600" cy="5401295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33: Текст программы</w:t>
            </w:r>
          </w:p>
          <w:bookmarkEnd w:id="152"/>
        </w:tc>
      </w:tr>
    </w:tbl>
    <w:p>
      <w:pPr>
        <w:pStyle w:val="BodyText"/>
      </w:pPr>
      <w:r>
        <w:t xml:space="preserve">Создадим исполняемый файл и запустим его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034"/>
          <w:p>
            <w:pPr>
              <w:pStyle w:val="Compact"/>
              <w:jc w:val="center"/>
            </w:pPr>
            <w:r>
              <w:drawing>
                <wp:inline>
                  <wp:extent cx="4800600" cy="484909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849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34: Запуск программы</w:t>
            </w:r>
          </w:p>
          <w:bookmarkEnd w:id="156"/>
        </w:tc>
      </w:tr>
    </w:tbl>
    <w:p>
      <w:pPr>
        <w:pStyle w:val="BodyText"/>
      </w:pPr>
      <w:r>
        <w:t xml:space="preserve">Создаем исполняемый файл и запускаем его в отладчике GDB и смотрим на изменение регистров командой si 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fig-035"/>
          <w:p>
            <w:pPr>
              <w:pStyle w:val="Compact"/>
              <w:jc w:val="center"/>
            </w:pPr>
            <w:r>
              <w:drawing>
                <wp:inline>
                  <wp:extent cx="4800600" cy="5401295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35: Ищем ошибку с помощью отладчика</w:t>
            </w:r>
          </w:p>
          <w:bookmarkEnd w:id="160"/>
        </w:tc>
      </w:tr>
    </w:tbl>
    <w:p>
      <w:pPr>
        <w:pStyle w:val="BodyText"/>
      </w:pPr>
      <w:r>
        <w:t xml:space="preserve">Изменяем программу для корректной работы (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036"/>
          <w:p>
            <w:pPr>
              <w:pStyle w:val="Compact"/>
              <w:jc w:val="center"/>
            </w:pPr>
            <w:r>
              <w:drawing>
                <wp:inline>
                  <wp:extent cx="4800600" cy="5401295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36: Текст программы с исправлениями</w:t>
            </w:r>
          </w:p>
          <w:bookmarkEnd w:id="164"/>
        </w:tc>
      </w:tr>
    </w:tbl>
    <w:p>
      <w:pPr>
        <w:pStyle w:val="BodyText"/>
      </w:pPr>
      <w:r>
        <w:t xml:space="preserve">Создадим исполняемый файл и запустим его (</w:t>
      </w:r>
      <w:hyperlink w:anchor="fig-037">
        <w:r>
          <w:rPr>
            <w:rStyle w:val="Hyperlink"/>
          </w:rPr>
          <w:t xml:space="preserve">рис. 37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037"/>
          <w:p>
            <w:pPr>
              <w:pStyle w:val="Compact"/>
              <w:jc w:val="center"/>
            </w:pPr>
            <w:r>
              <w:drawing>
                <wp:inline>
                  <wp:extent cx="4800600" cy="484909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849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37: Запуск программы</w:t>
            </w:r>
          </w:p>
          <w:bookmarkEnd w:id="168"/>
        </w:tc>
      </w:tr>
    </w:tbl>
    <w:p>
      <w:pPr>
        <w:pStyle w:val="BodyText"/>
      </w:pPr>
      <w:r>
        <w:t xml:space="preserve">Теперь программа работает корректно.</w:t>
      </w:r>
    </w:p>
    <w:bookmarkEnd w:id="169"/>
    <w:bookmarkEnd w:id="170"/>
    <w:bookmarkStart w:id="171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Мы познакомились с методами отладки при помощи GDB и его возможностями, а также научились работать с подпрограммами.</w:t>
      </w:r>
    </w:p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29" Target="media/rId29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157" Target="media/rId157.png" /><Relationship Type="http://schemas.openxmlformats.org/officeDocument/2006/relationships/image" Id="rId161" Target="media/rId161.png" /><Relationship Type="http://schemas.openxmlformats.org/officeDocument/2006/relationships/image" Id="rId165" Target="media/rId165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лобораторной работе №9</dc:title>
  <dc:creator>Мещерякова София Андреевна</dc:creator>
  <dc:language>ru-RU</dc:language>
  <cp:keywords/>
  <dcterms:created xsi:type="dcterms:W3CDTF">2025-12-07T17:26:38Z</dcterms:created>
  <dcterms:modified xsi:type="dcterms:W3CDTF">2025-12-07T17:26:38Z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Понятие подпрограммы. Отладчик GDB.</vt:lpwstr>
  </property>
  <property fmtid="{D5CDD505-2E9C-101B-9397-08002B2CF9AE}" pid="16" name="toc-title">
    <vt:lpwstr>Содержание</vt:lpwstr>
  </property>
</Properties>
</file>