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Mar>
              <w:top w:type="dxa" w:w="0"/>
              <w:left w:type="dxa" w:w="0"/>
              <w:bottom w:type="dxa" w:w="0"/>
              <w:right w:type="dxa" w:w="0"/>
            </w:tcMar>
          </w:tcPr>
          <w:p>
            <w:pPr>
              <w:spacing w:before="3600"/>
            </w:pPr>
          </w:p>
          <w:p>
            <w:pPr>
              <w:pBdr>
                <w:bottom w:val="single" w:color="37DCF2" w:sz="6" w:space="12"/>
              </w:pBdr>
              <w:spacing w:after="200"/>
              <w:ind w:left="1200"/>
            </w:pPr>
          </w:p>
          <w:p>
            <w:pPr>
              <w:spacing w:after="100" w:before="400" w:line="828" w:lineRule="atLeast"/>
              <w:ind w:left="1200"/>
            </w:pPr>
            <w:r>
              <w:rPr>
                <w:rFonts w:ascii="Times New Roman" w:cs="Times New Roman" w:eastAsia="Times New Roman" w:hAnsi="Times New Roman"/>
                <w:b/>
                <w:bCs/>
                <w:color w:val="FFFFFF"/>
                <w:sz w:val="56"/>
                <w:szCs w:val="56"/>
              </w:rPr>
              <w:t xml:space="preserve">Stefco Claims Dashboard</w:t>
            </w:r>
          </w:p>
          <w:p>
            <w:pPr>
              <w:spacing w:after="200" w:before="200" w:line="400"/>
              <w:ind w:left="1200"/>
            </w:pPr>
            <w:r>
              <w:rPr>
                <w:rFonts w:ascii="Calibri" w:cs="Calibri" w:eastAsia="Calibri" w:hAnsi="Calibri"/>
                <w:color w:val="B0B8C0"/>
                <w:sz w:val="28"/>
                <w:szCs w:val="28"/>
              </w:rPr>
              <w:t xml:space="preserve">Comprehensive Development Guide</w:t>
            </w:r>
          </w:p>
          <w:p>
            <w:pPr>
              <w:spacing w:before="600"/>
            </w:pPr>
          </w:p>
          <w:p>
            <w:pPr>
              <w:spacing w:after="60"/>
              <w:ind w:left="1200"/>
            </w:pPr>
            <w:r>
              <w:rPr>
                <w:rFonts w:ascii="Calibri" w:cs="Calibri" w:eastAsia="Calibri" w:hAnsi="Calibri"/>
                <w:color w:val="90989F"/>
                <w:sz w:val="20"/>
                <w:szCs w:val="20"/>
              </w:rPr>
              <w:t xml:space="preserve">Version 0.2.0  |  Production Ready</w:t>
            </w:r>
          </w:p>
          <w:p>
            <w:pPr>
              <w:spacing w:after="60"/>
              <w:ind w:left="1200"/>
            </w:pPr>
            <w:r>
              <w:rPr>
                <w:rFonts w:ascii="Calibri" w:cs="Calibri" w:eastAsia="Calibri" w:hAnsi="Calibri"/>
                <w:color w:val="90989F"/>
                <w:sz w:val="20"/>
                <w:szCs w:val="20"/>
              </w:rPr>
              <w:t xml:space="preserve">Soft-Dynamix</w:t>
            </w:r>
          </w:p>
          <w:p>
            <w:pPr>
              <w:spacing w:after="60"/>
              <w:ind w:left="1200"/>
            </w:pPr>
            <w:r>
              <w:rPr>
                <w:rFonts w:ascii="Calibri" w:cs="Calibri" w:eastAsia="Calibri" w:hAnsi="Calibri"/>
                <w:color w:val="90989F"/>
                <w:sz w:val="20"/>
                <w:szCs w:val="20"/>
              </w:rPr>
              <w:t xml:space="preserve">April 2026</w:t>
            </w:r>
          </w:p>
        </w:tc>
      </w:tr>
    </w:tbl>
    <w:p>
      <w:pPr>
        <w:sectPr>
          <w:pgSz w:w="11906" w:h="16838" w:orient="portrait"/>
          <w:pgMar w:top="0" w:right="0" w:bottom="0" w:left="0" w:header="708" w:footer="708" w:gutter="0"/>
          <w:pgNumType/>
          <w:docGrid w:linePitch="360"/>
        </w:sectPr>
      </w:pPr>
    </w:p>
    <w:p>
      <w:pPr>
        <w:spacing w:after="200"/>
      </w:pPr>
      <w:r>
        <w:rPr>
          <w:rFonts w:ascii="Times New Roman" w:cs="Times New Roman" w:eastAsia="Times New Roman" w:hAnsi="Times New Roman"/>
          <w:b/>
          <w:bCs/>
          <w:color w:val="0B1220"/>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Architecture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Core Technology Stack</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Multi-Agent AI System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Three-Tier Learning Automation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Data Flow Architecture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Prerequisites and Installation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System Requirements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One-Click Installation (Docker)</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Local Development Setup</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3. Configuration Guide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3.1 Core Settings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3.2 AI Provider Configuration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3.3 IMAP Configuration (Incoming Email)</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3.4 SMTP Configuration (Outgoing Email)</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4. Database Schema</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4.1 Core Models</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5. API Reference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5.1 Health and System</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5.2 Claims Management</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5.3 Email Processing</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5.4 Learning Engine</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5.5 Insurance Companies</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6. Self-Learning Engine</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6.1 Learning Hints System</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6.2 Sender Learning Profiles</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6.3 Processing Route Determination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6.4 Ignore Learning</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7. Email Processing Pipeline</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7.1 Email Polling</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7.2 Classification and Extraction</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7.3 Review Queue Workflow</w:t>
            </w:r>
            <w:r>
              <w:tab/>
            </w:r>
            <w:r>
              <w:fldChar w:fldCharType="begin"/>
            </w:r>
            <w:r>
              <w:instrText xml:space="preserve"> PAGEREF _Toc100030 \h </w:instrText>
            </w:r>
            <w:r>
              <w:fldChar w:fldCharType="separate"/>
            </w:r>
            <w:r>
              <w:t>11</w:t>
            </w:r>
            <w:r>
              <w:fldChar w:fldCharType="end"/>
            </w:r>
          </w:hyperlink>
        </w:p>
        <w:p>
          <w:pPr>
            <w:pStyle w:val="9"/>
            <w:tabs>
              <w:tab w:val="right" w:leader="dot" w:pos="9026"/>
            </w:tabs>
            <w:spacing w:before="120" w:after="60"/>
          </w:pPr>
          <w:hyperlink w:anchor="_Toc100031" w:history="1">
            <w:r>
              <w:rPr>
                <w:rStyle w:val="Hyperlink"/>
              </w:rPr>
              <w:t>8. Deployment Guide</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8.1 Docker Build Architecture</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8.2 Database Template System</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8.3 Volume Persistence</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8.4 Health Monitoring</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9. Development Workflow</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9.1 Project Structure</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9.2 Key Scripts</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9.3 Adding New Features</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10. Troubleshooting</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10.1 Docker Build Failures</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10.2 Runtime Issues</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10.3 Performance Optimization</w:t>
            </w:r>
            <w:r>
              <w:tab/>
            </w:r>
            <w:r>
              <w:fldChar w:fldCharType="begin"/>
            </w:r>
            <w:r>
              <w:instrText xml:space="preserve"> PAGEREF _Toc100043 \h </w:instrText>
            </w:r>
            <w:r>
              <w:fldChar w:fldCharType="separate"/>
            </w:r>
            <w:r>
              <w:t>16</w:t>
            </w:r>
            <w:r>
              <w:fldChar w:fldCharType="end"/>
            </w:r>
          </w:hyperlink>
        </w:p>
        <w:p>
          <w:r>
            <w:fldChar w:fldCharType="end"/>
          </w:r>
        </w:p>
      </w:sdtContent>
    </w:sdt>
    <w:p>
      <w:r>
        <w:br w:type="page"/>
      </w:r>
    </w:p>
    <w:p>
      <w:pPr>
        <w:spacing w:after="120" w:line="312"/>
        <w:jc w:val="left"/>
      </w:pPr>
      <w:r>
        <w:rPr>
          <w:rFonts w:ascii="Calibri" w:cs="Calibri" w:eastAsia="Calibri" w:hAnsi="Calibri"/>
          <w:color w:val="000000"/>
          <w:sz w:val="22"/>
          <w:szCs w:val="22"/>
        </w:rPr>
        <w:t xml:space="preserve">(Right-click the Table of Contents above and select 'Update Field' to refresh page numbers after opening in Word.)</w:t>
      </w:r>
    </w:p>
    <w:p>
      <w:pPr>
        <w:sectPr>
          <w:footerReference w:type="default" r:id="rId7"/>
          <w:pgSz w:w="11906" w:h="16838" w:orient="portrait"/>
          <w:pgMar w:top="1440" w:right="1417" w:bottom="1440" w:left="1701" w:header="708" w:footer="708" w:gutter="0"/>
          <w:pgNumType/>
          <w:docGrid w:linePitch="360"/>
        </w:sectPr>
      </w:pPr>
    </w:p>
    <w:p>
      <w:pPr>
        <w:pStyle w:val="Heading1"/>
        <w:spacing w:after="160" w:before="360" w:line="312"/>
      </w:pPr>
      <w:bookmarkStart w:id="100000" w:name="_Toc100000"/>
      <w:r>
        <w:rPr>
          <w:rFonts w:ascii="Times New Roman" w:cs="Times New Roman" w:eastAsia="Times New Roman" w:hAnsi="Times New Roman"/>
          <w:b/>
          <w:bCs/>
          <w:color w:val="0B1220"/>
          <w:sz w:val="32"/>
          <w:szCs w:val="32"/>
        </w:rPr>
        <w:t xml:space="preserve">1. Architecture Overview</w:t>
      </w:r>
      <w:bookmarkEnd w:id="100000"/>
    </w:p>
    <w:p>
      <w:pPr>
        <w:spacing w:after="120" w:line="312"/>
        <w:jc w:val="left"/>
      </w:pPr>
      <w:r>
        <w:rPr>
          <w:rFonts w:ascii="Calibri" w:cs="Calibri" w:eastAsia="Calibri" w:hAnsi="Calibri"/>
          <w:color w:val="000000"/>
          <w:sz w:val="22"/>
          <w:szCs w:val="22"/>
        </w:rPr>
        <w:t xml:space="preserve">The Stefco Claims Dashboard is a full-stack web application built with Next.js 16 (App Router), React 19, TypeScript, and SQLite (via Prisma ORM). It is designed to automate the intake, classification, and processing of insurance claim emails using a multi-agent AI system combined with a progressive self-learning engine that improves accuracy over time through human feedback. The application ships as a Docker container with a multi-stage build that produces a minimal Node.js 20 Alpine runtime image.</w:t>
      </w:r>
    </w:p>
    <w:p>
      <w:pPr>
        <w:pStyle w:val="Heading2"/>
        <w:spacing w:after="120" w:before="280" w:line="312"/>
      </w:pPr>
      <w:bookmarkStart w:id="100001" w:name="_Toc100001"/>
      <w:r>
        <w:rPr>
          <w:rFonts w:ascii="Times New Roman" w:cs="Times New Roman" w:eastAsia="Times New Roman" w:hAnsi="Times New Roman"/>
          <w:b/>
          <w:bCs/>
          <w:color w:val="0B1220"/>
          <w:sz w:val="26"/>
          <w:szCs w:val="26"/>
        </w:rPr>
        <w:t xml:space="preserve">1.1 Core Technology Stack</w:t>
      </w:r>
      <w:bookmarkEnd w:id="100001"/>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Layer</w:t>
            </w:r>
          </w:p>
        </w:tc>
        <w:tc>
          <w:tcPr>
            <w:tcW w:type="pct" w:w="3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Technology</w:t>
            </w:r>
          </w:p>
        </w:tc>
        <w:tc>
          <w:tcPr>
            <w:tcW w:type="pct" w:w="4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Frontend</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Next.js 16 + React 19 + TypeScript</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App Router with server components and client interactivity</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UI Framework</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shadcn/ui + Tailwind CSS 4 + Radix UI</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Accessible, themeable component library</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State Management</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Zustand</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Lightweight client-side state for claims data</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Database</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SQLite via Prisma ORM 6</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File-based persistence with zero external dependencies</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AI Integration</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z-ai-web-dev-sdk (Gemini/Groq/OpenRouter)</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Email classification, field extraction, and smart suggestions</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Email (Inbound)</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imapflow</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IMAP email polling with SSL/TLS support</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Email (Outbound)</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nodemailer</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SMTP auto-reply and notification emails</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Runtime</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Node.js 20 Alpine (Docker)</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Production container with standalone Next.js output</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Package Manager</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bun</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Fast dependency installation (10-20x faster than npm)</w:t>
            </w:r>
          </w:p>
        </w:tc>
      </w:tr>
    </w:tbl>
    <w:p>
      <w:pPr>
        <w:spacing w:after="120"/>
      </w:pPr>
    </w:p>
    <w:p>
      <w:pPr>
        <w:pStyle w:val="Heading2"/>
        <w:spacing w:after="120" w:before="280" w:line="312"/>
      </w:pPr>
      <w:bookmarkStart w:id="100002" w:name="_Toc100002"/>
      <w:r>
        <w:rPr>
          <w:rFonts w:ascii="Times New Roman" w:cs="Times New Roman" w:eastAsia="Times New Roman" w:hAnsi="Times New Roman"/>
          <w:b/>
          <w:bCs/>
          <w:color w:val="0B1220"/>
          <w:sz w:val="26"/>
          <w:szCs w:val="26"/>
        </w:rPr>
        <w:t xml:space="preserve">1.2 Multi-Agent AI System</w:t>
      </w:r>
      <w:bookmarkEnd w:id="100002"/>
    </w:p>
    <w:p>
      <w:pPr>
        <w:spacing w:after="120" w:line="312"/>
        <w:jc w:val="left"/>
      </w:pPr>
      <w:r>
        <w:rPr>
          <w:rFonts w:ascii="Calibri" w:cs="Calibri" w:eastAsia="Calibri" w:hAnsi="Calibri"/>
          <w:color w:val="000000"/>
          <w:sz w:val="22"/>
          <w:szCs w:val="22"/>
        </w:rPr>
        <w:t xml:space="preserve">The application employs a sophisticated multi-agent architecture for processing incoming claim emails. Each agent has a specialized role in the pipeline, from initial intake through final classification and feedback learning. The Intake Agent receives raw emails from the IMAP polling system and performs initial parsing and deduplication. The Preprocessing Agent cleans email bodies by removing signatures, disclaimers, and formatting artifacts, then extracts structured signals such as claim numbers, person names, dates, and keywords using the ExtractedEntity model.</w:t>
      </w:r>
    </w:p>
    <w:p>
      <w:pPr>
        <w:spacing w:after="120" w:line="312"/>
        <w:jc w:val="left"/>
      </w:pPr>
      <w:r>
        <w:rPr>
          <w:rFonts w:ascii="Calibri" w:cs="Calibri" w:eastAsia="Calibri" w:hAnsi="Calibri"/>
          <w:color w:val="000000"/>
          <w:sz w:val="22"/>
          <w:szCs w:val="22"/>
        </w:rPr>
        <w:t xml:space="preserve">The Classification Agent uses AI (via the configured provider) to classify each email into one of four categories: NEW_CLAIM, IGNORE, MISSING_INFO, or OTHER. It leverages few-shot examples from the ClassificationKnowledge table and learning hints from the LearningPattern table to improve accuracy. The Decision Engine evaluates the classification confidence alongside the sender's learning profile to determine the appropriate processing route: auto_create (high confidence sender), ai_suggest (medium confidence), or manual_review (new or low-confidence sender).</w:t>
      </w:r>
    </w:p>
    <w:p>
      <w:pPr>
        <w:spacing w:after="120" w:line="312"/>
        <w:jc w:val="left"/>
      </w:pPr>
      <w:r>
        <w:rPr>
          <w:rFonts w:ascii="Calibri" w:cs="Calibri" w:eastAsia="Calibri" w:hAnsi="Calibri"/>
          <w:color w:val="000000"/>
          <w:sz w:val="22"/>
          <w:szCs w:val="22"/>
        </w:rPr>
        <w:t xml:space="preserve">The Feedback Agent captures user corrections and confirmations, storing them as ClaimFeedback records. These feed into the Learning Agent, which updates LearningPatterns and SenderPatterns to improve future classifications. Over time, senders progress through three automation levels based on accumulated knowledge and accuracy metrics.</w:t>
      </w:r>
    </w:p>
    <w:p>
      <w:pPr>
        <w:pStyle w:val="Heading2"/>
        <w:spacing w:after="120" w:before="280" w:line="312"/>
      </w:pPr>
      <w:bookmarkStart w:id="100003" w:name="_Toc100003"/>
      <w:r>
        <w:rPr>
          <w:rFonts w:ascii="Times New Roman" w:cs="Times New Roman" w:eastAsia="Times New Roman" w:hAnsi="Times New Roman"/>
          <w:b/>
          <w:bCs/>
          <w:color w:val="0B1220"/>
          <w:sz w:val="26"/>
          <w:szCs w:val="26"/>
        </w:rPr>
        <w:t xml:space="preserve">1.3 Three-Tier Learning Automation</w:t>
      </w:r>
      <w:bookmarkEnd w:id="100003"/>
    </w:p>
    <w:p>
      <w:pPr>
        <w:spacing w:after="120" w:line="312"/>
        <w:jc w:val="left"/>
      </w:pPr>
      <w:r>
        <w:rPr>
          <w:rFonts w:ascii="Calibri" w:cs="Calibri" w:eastAsia="Calibri" w:hAnsi="Calibri"/>
          <w:color w:val="000000"/>
          <w:sz w:val="22"/>
          <w:szCs w:val="22"/>
        </w:rPr>
        <w:t xml:space="preserve">The system implements a progressive automation model where senders graduate through three tiers based on the system's confidence in handling their emails correctly. This approach balances automation efficiency with human oversight, ensuring that accuracy improves before full automation is granted.</w:t>
      </w:r>
    </w:p>
    <w:tbl>
      <w:tblPr>
        <w:tblW w:type="pct" w:w="100%"/>
        <w:tblBorders>
          <w:top w:val="single" w:color="1B6B7A" w:sz="2"/>
          <w:left/>
          <w:bottom w:val="single" w:color="1B6B7A" w:sz="2"/>
          <w:right/>
          <w:insideH w:val="single" w:color="C8DDE2" w:sz="1"/>
          <w:insideV/>
        </w:tblBorders>
      </w:tblPr>
      <w:tblGrid>
        <w:gridCol w:w="100"/>
        <w:gridCol w:w="100"/>
        <w:gridCol w:w="100"/>
        <w:gridCol w:w="100"/>
      </w:tblGrid>
      <w:tr>
        <w:trPr>
          <w:cantSplit/>
          <w:tblHeader/>
        </w:trPr>
        <w:tc>
          <w:tcPr>
            <w:tcW w:type="pct" w:w="8%"/>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Tier</w:t>
            </w:r>
          </w:p>
        </w:tc>
        <w:tc>
          <w:tcPr>
            <w:tcW w:type="pct" w:w="1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Name</w:t>
            </w:r>
          </w:p>
        </w:tc>
        <w:tc>
          <w:tcPr>
            <w:tcW w:type="pct" w:w="42%"/>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Thresholds</w:t>
            </w:r>
          </w:p>
        </w:tc>
        <w:tc>
          <w:tcPr>
            <w:tcW w:type="pct" w:w="3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Behavior</w:t>
            </w:r>
          </w:p>
        </w:tc>
      </w:tr>
      <w:tr>
        <w:trPr>
          <w:cantSplit/>
        </w:trPr>
        <w:tc>
          <w:tcPr>
            <w:tcW w:type="pct" w:w="8%"/>
            <w:shd w:fill="FFFFFF" w:val="clear"/>
            <w:tcMar>
              <w:top w:type="dxa" w:w="50"/>
              <w:left w:type="dxa" w:w="120"/>
              <w:bottom w:type="dxa" w:w="50"/>
              <w:right w:type="dxa" w:w="120"/>
            </w:tcMar>
          </w:tcPr>
          <w:p>
            <w:r>
              <w:rPr>
                <w:rFonts w:ascii="Calibri" w:cs="Calibri" w:eastAsia="Calibri" w:hAnsi="Calibri"/>
                <w:color w:val="000000"/>
                <w:sz w:val="20"/>
                <w:szCs w:val="20"/>
              </w:rPr>
              <w:t xml:space="preserve">1</w:t>
            </w:r>
          </w:p>
        </w:tc>
        <w:tc>
          <w:tcPr>
            <w:tcW w:type="pct" w:w="15%"/>
            <w:shd w:fill="FFFFFF" w:val="clear"/>
            <w:tcMar>
              <w:top w:type="dxa" w:w="50"/>
              <w:left w:type="dxa" w:w="120"/>
              <w:bottom w:type="dxa" w:w="50"/>
              <w:right w:type="dxa" w:w="120"/>
            </w:tcMar>
          </w:tcPr>
          <w:p>
            <w:r>
              <w:rPr>
                <w:rFonts w:ascii="Calibri" w:cs="Calibri" w:eastAsia="Calibri" w:hAnsi="Calibri"/>
                <w:color w:val="000000"/>
                <w:sz w:val="20"/>
                <w:szCs w:val="20"/>
              </w:rPr>
              <w:t xml:space="preserve">Manual Review</w:t>
            </w:r>
          </w:p>
        </w:tc>
        <w:tc>
          <w:tcPr>
            <w:tcW w:type="pct" w:w="42%"/>
            <w:shd w:fill="FFFFFF" w:val="clear"/>
            <w:tcMar>
              <w:top w:type="dxa" w:w="50"/>
              <w:left w:type="dxa" w:w="120"/>
              <w:bottom w:type="dxa" w:w="50"/>
              <w:right w:type="dxa" w:w="120"/>
            </w:tcMar>
          </w:tcPr>
          <w:p>
            <w:r>
              <w:rPr>
                <w:rFonts w:ascii="Calibri" w:cs="Calibri" w:eastAsia="Calibri" w:hAnsi="Calibri"/>
                <w:color w:val="000000"/>
                <w:sz w:val="20"/>
                <w:szCs w:val="20"/>
              </w:rPr>
              <w:t xml:space="preserve">&lt; 6 patterns OR &lt; 3 classifications OR accuracy &lt; 70%</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All emails routed to human review queue for classification and field verification</w:t>
            </w:r>
          </w:p>
        </w:tc>
      </w:tr>
      <w:tr>
        <w:trPr>
          <w:cantSplit/>
        </w:trPr>
        <w:tc>
          <w:tcPr>
            <w:tcW w:type="pct" w:w="8%"/>
            <w:shd w:fill="EDF3F5" w:val="clear"/>
            <w:tcMar>
              <w:top w:type="dxa" w:w="50"/>
              <w:left w:type="dxa" w:w="120"/>
              <w:bottom w:type="dxa" w:w="50"/>
              <w:right w:type="dxa" w:w="120"/>
            </w:tcMar>
          </w:tcPr>
          <w:p>
            <w:r>
              <w:rPr>
                <w:rFonts w:ascii="Calibri" w:cs="Calibri" w:eastAsia="Calibri" w:hAnsi="Calibri"/>
                <w:color w:val="000000"/>
                <w:sz w:val="20"/>
                <w:szCs w:val="20"/>
              </w:rPr>
              <w:t xml:space="preserve">2</w:t>
            </w:r>
          </w:p>
        </w:tc>
        <w:tc>
          <w:tcPr>
            <w:tcW w:type="pct" w:w="15%"/>
            <w:shd w:fill="EDF3F5" w:val="clear"/>
            <w:tcMar>
              <w:top w:type="dxa" w:w="50"/>
              <w:left w:type="dxa" w:w="120"/>
              <w:bottom w:type="dxa" w:w="50"/>
              <w:right w:type="dxa" w:w="120"/>
            </w:tcMar>
          </w:tcPr>
          <w:p>
            <w:r>
              <w:rPr>
                <w:rFonts w:ascii="Calibri" w:cs="Calibri" w:eastAsia="Calibri" w:hAnsi="Calibri"/>
                <w:color w:val="000000"/>
                <w:sz w:val="20"/>
                <w:szCs w:val="20"/>
              </w:rPr>
              <w:t xml:space="preserve">Semi-Auto</w:t>
            </w:r>
          </w:p>
        </w:tc>
        <w:tc>
          <w:tcPr>
            <w:tcW w:type="pct" w:w="42%"/>
            <w:shd w:fill="EDF3F5" w:val="clear"/>
            <w:tcMar>
              <w:top w:type="dxa" w:w="50"/>
              <w:left w:type="dxa" w:w="120"/>
              <w:bottom w:type="dxa" w:w="50"/>
              <w:right w:type="dxa" w:w="120"/>
            </w:tcMar>
          </w:tcPr>
          <w:p>
            <w:r>
              <w:rPr>
                <w:rFonts w:ascii="Calibri" w:cs="Calibri" w:eastAsia="Calibri" w:hAnsi="Calibri"/>
                <w:color w:val="000000"/>
                <w:sz w:val="20"/>
                <w:szCs w:val="20"/>
              </w:rPr>
              <w:t xml:space="preserve">&gt;= 6 patterns AND &gt;= 3 classifications AND accuracy &gt;= 70%</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AI pre-classifies and suggests field values; user reviews and confirms before claim creation</w:t>
            </w:r>
          </w:p>
        </w:tc>
      </w:tr>
      <w:tr>
        <w:trPr>
          <w:cantSplit/>
        </w:trPr>
        <w:tc>
          <w:tcPr>
            <w:tcW w:type="pct" w:w="8%"/>
            <w:shd w:fill="FFFFFF" w:val="clear"/>
            <w:tcMar>
              <w:top w:type="dxa" w:w="50"/>
              <w:left w:type="dxa" w:w="120"/>
              <w:bottom w:type="dxa" w:w="50"/>
              <w:right w:type="dxa" w:w="120"/>
            </w:tcMar>
          </w:tcPr>
          <w:p>
            <w:r>
              <w:rPr>
                <w:rFonts w:ascii="Calibri" w:cs="Calibri" w:eastAsia="Calibri" w:hAnsi="Calibri"/>
                <w:color w:val="000000"/>
                <w:sz w:val="20"/>
                <w:szCs w:val="20"/>
              </w:rPr>
              <w:t xml:space="preserve">3</w:t>
            </w:r>
          </w:p>
        </w:tc>
        <w:tc>
          <w:tcPr>
            <w:tcW w:type="pct" w:w="15%"/>
            <w:shd w:fill="FFFFFF" w:val="clear"/>
            <w:tcMar>
              <w:top w:type="dxa" w:w="50"/>
              <w:left w:type="dxa" w:w="120"/>
              <w:bottom w:type="dxa" w:w="50"/>
              <w:right w:type="dxa" w:w="120"/>
            </w:tcMar>
          </w:tcPr>
          <w:p>
            <w:r>
              <w:rPr>
                <w:rFonts w:ascii="Calibri" w:cs="Calibri" w:eastAsia="Calibri" w:hAnsi="Calibri"/>
                <w:color w:val="000000"/>
                <w:sz w:val="20"/>
                <w:szCs w:val="20"/>
              </w:rPr>
              <w:t xml:space="preserve">Fully Auto</w:t>
            </w:r>
          </w:p>
        </w:tc>
        <w:tc>
          <w:tcPr>
            <w:tcW w:type="pct" w:w="42%"/>
            <w:shd w:fill="FFFFFF" w:val="clear"/>
            <w:tcMar>
              <w:top w:type="dxa" w:w="50"/>
              <w:left w:type="dxa" w:w="120"/>
              <w:bottom w:type="dxa" w:w="50"/>
              <w:right w:type="dxa" w:w="120"/>
            </w:tcMar>
          </w:tcPr>
          <w:p>
            <w:r>
              <w:rPr>
                <w:rFonts w:ascii="Calibri" w:cs="Calibri" w:eastAsia="Calibri" w:hAnsi="Calibri"/>
                <w:color w:val="000000"/>
                <w:sz w:val="20"/>
                <w:szCs w:val="20"/>
              </w:rPr>
              <w:t xml:space="preserve">&gt;= 10 patterns AND &gt;= 5 classifications AND accuracy &gt;= 85%</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Emails are automatically classified and claims created with minimal human intervention</w:t>
            </w:r>
          </w:p>
        </w:tc>
      </w:tr>
    </w:tbl>
    <w:p>
      <w:pPr>
        <w:spacing w:after="120"/>
      </w:pPr>
    </w:p>
    <w:p>
      <w:pPr>
        <w:pStyle w:val="Heading2"/>
        <w:spacing w:after="120" w:before="280" w:line="312"/>
      </w:pPr>
      <w:bookmarkStart w:id="100004" w:name="_Toc100004"/>
      <w:r>
        <w:rPr>
          <w:rFonts w:ascii="Times New Roman" w:cs="Times New Roman" w:eastAsia="Times New Roman" w:hAnsi="Times New Roman"/>
          <w:b/>
          <w:bCs/>
          <w:color w:val="0B1220"/>
          <w:sz w:val="26"/>
          <w:szCs w:val="26"/>
        </w:rPr>
        <w:t xml:space="preserve">1.4 Data Flow Architecture</w:t>
      </w:r>
      <w:bookmarkEnd w:id="100004"/>
    </w:p>
    <w:p>
      <w:pPr>
        <w:spacing w:after="120" w:line="312"/>
        <w:jc w:val="left"/>
      </w:pPr>
      <w:r>
        <w:rPr>
          <w:rFonts w:ascii="Calibri" w:cs="Calibri" w:eastAsia="Calibri" w:hAnsi="Calibri"/>
          <w:color w:val="000000"/>
          <w:sz w:val="22"/>
          <w:szCs w:val="22"/>
        </w:rPr>
        <w:t xml:space="preserve">Emails enter the system through IMAP polling (configured interval) or manual upload. Each email passes through the multi-agent pipeline: parsing, preprocessing, classification, and decision routing. Based on the decision, emails either enter the review queue (EmailQueue model) for human attention or proceed directly to claim creation. Claims are stored in the Claim model with full audit trails via the AuditLog model. User feedback flows back through the Learning Engine to update patterns and improve future processing accuracy. The entire system is stateless on the server side, with all persistent data stored in SQLite, making it trivially deployable and backup-friendly.</w:t>
      </w:r>
    </w:p>
    <w:p>
      <w:pPr>
        <w:pStyle w:val="Heading1"/>
        <w:spacing w:after="160" w:before="360" w:line="312"/>
      </w:pPr>
      <w:bookmarkStart w:id="100005" w:name="_Toc100005"/>
      <w:r>
        <w:rPr>
          <w:rFonts w:ascii="Times New Roman" w:cs="Times New Roman" w:eastAsia="Times New Roman" w:hAnsi="Times New Roman"/>
          <w:b/>
          <w:bCs/>
          <w:color w:val="0B1220"/>
          <w:sz w:val="32"/>
          <w:szCs w:val="32"/>
        </w:rPr>
        <w:t xml:space="preserve">2. Prerequisites and Installation</w:t>
      </w:r>
      <w:bookmarkEnd w:id="100005"/>
    </w:p>
    <w:p>
      <w:pPr>
        <w:spacing w:after="120" w:line="312"/>
        <w:jc w:val="left"/>
      </w:pPr>
      <w:r>
        <w:rPr>
          <w:rFonts w:ascii="Calibri" w:cs="Calibri" w:eastAsia="Calibri" w:hAnsi="Calibri"/>
          <w:color w:val="000000"/>
          <w:sz w:val="22"/>
          <w:szCs w:val="22"/>
        </w:rPr>
        <w:t xml:space="preserve">The Stefco Claims Dashboard can be deployed using Docker (recommended for production) or run locally for development. The one-click installer script automates the entire setup process, including prerequisite checks, configuration, Docker image building, and container startup.</w:t>
      </w:r>
    </w:p>
    <w:p>
      <w:pPr>
        <w:pStyle w:val="Heading2"/>
        <w:spacing w:after="120" w:before="280" w:line="312"/>
      </w:pPr>
      <w:bookmarkStart w:id="100006" w:name="_Toc100006"/>
      <w:r>
        <w:rPr>
          <w:rFonts w:ascii="Times New Roman" w:cs="Times New Roman" w:eastAsia="Times New Roman" w:hAnsi="Times New Roman"/>
          <w:b/>
          <w:bCs/>
          <w:color w:val="0B1220"/>
          <w:sz w:val="26"/>
          <w:szCs w:val="26"/>
        </w:rPr>
        <w:t xml:space="preserve">2.1 System Requirements</w:t>
      </w:r>
      <w:bookmarkEnd w:id="100006"/>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pct" w:w="3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Minimum</w:t>
            </w:r>
          </w:p>
        </w:tc>
        <w:tc>
          <w:tcPr>
            <w:tcW w:type="pct" w:w="4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Recommended</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Docker</w:t>
            </w:r>
          </w:p>
        </w:tc>
        <w:tc>
          <w:tcPr>
            <w:tcW w:type="pct" w:w="30%"/>
            <w:shd w:fill="FFFFFF" w:val="clear"/>
            <w:tcMar>
              <w:top w:type="dxa" w:w="50"/>
              <w:left w:type="dxa" w:w="120"/>
              <w:bottom w:type="dxa" w:w="50"/>
              <w:right w:type="dxa" w:w="120"/>
            </w:tcMar>
          </w:tcPr>
          <w:p>
            <w:r>
              <w:rPr>
                <w:rFonts w:ascii="Calibri" w:cs="Calibri" w:eastAsia="Calibri" w:hAnsi="Calibri"/>
                <w:color w:val="000000"/>
                <w:sz w:val="20"/>
                <w:szCs w:val="20"/>
              </w:rPr>
              <w:t xml:space="preserve">20.10+</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29.0+</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Docker Compose</w:t>
            </w:r>
          </w:p>
        </w:tc>
        <w:tc>
          <w:tcPr>
            <w:tcW w:type="pct" w:w="30%"/>
            <w:shd w:fill="EDF3F5" w:val="clear"/>
            <w:tcMar>
              <w:top w:type="dxa" w:w="50"/>
              <w:left w:type="dxa" w:w="120"/>
              <w:bottom w:type="dxa" w:w="50"/>
              <w:right w:type="dxa" w:w="120"/>
            </w:tcMar>
          </w:tcPr>
          <w:p>
            <w:r>
              <w:rPr>
                <w:rFonts w:ascii="Calibri" w:cs="Calibri" w:eastAsia="Calibri" w:hAnsi="Calibri"/>
                <w:color w:val="000000"/>
                <w:sz w:val="20"/>
                <w:szCs w:val="20"/>
              </w:rPr>
              <w:t xml:space="preserve">v2.0+</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v2.20+</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Git</w:t>
            </w:r>
          </w:p>
        </w:tc>
        <w:tc>
          <w:tcPr>
            <w:tcW w:type="pct" w:w="30%"/>
            <w:shd w:fill="FFFFFF" w:val="clear"/>
            <w:tcMar>
              <w:top w:type="dxa" w:w="50"/>
              <w:left w:type="dxa" w:w="120"/>
              <w:bottom w:type="dxa" w:w="50"/>
              <w:right w:type="dxa" w:w="120"/>
            </w:tcMar>
          </w:tcPr>
          <w:p>
            <w:r>
              <w:rPr>
                <w:rFonts w:ascii="Calibri" w:cs="Calibri" w:eastAsia="Calibri" w:hAnsi="Calibri"/>
                <w:color w:val="000000"/>
                <w:sz w:val="20"/>
                <w:szCs w:val="20"/>
              </w:rPr>
              <w:t xml:space="preserve">2.30+</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2.50+</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RAM</w:t>
            </w:r>
          </w:p>
        </w:tc>
        <w:tc>
          <w:tcPr>
            <w:tcW w:type="pct" w:w="30%"/>
            <w:shd w:fill="EDF3F5" w:val="clear"/>
            <w:tcMar>
              <w:top w:type="dxa" w:w="50"/>
              <w:left w:type="dxa" w:w="120"/>
              <w:bottom w:type="dxa" w:w="50"/>
              <w:right w:type="dxa" w:w="120"/>
            </w:tcMar>
          </w:tcPr>
          <w:p>
            <w:r>
              <w:rPr>
                <w:rFonts w:ascii="Calibri" w:cs="Calibri" w:eastAsia="Calibri" w:hAnsi="Calibri"/>
                <w:color w:val="000000"/>
                <w:sz w:val="20"/>
                <w:szCs w:val="20"/>
              </w:rPr>
              <w:t xml:space="preserve">2 GB</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4 GB</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Disk Space</w:t>
            </w:r>
          </w:p>
        </w:tc>
        <w:tc>
          <w:tcPr>
            <w:tcW w:type="pct" w:w="30%"/>
            <w:shd w:fill="FFFFFF" w:val="clear"/>
            <w:tcMar>
              <w:top w:type="dxa" w:w="50"/>
              <w:left w:type="dxa" w:w="120"/>
              <w:bottom w:type="dxa" w:w="50"/>
              <w:right w:type="dxa" w:w="120"/>
            </w:tcMar>
          </w:tcPr>
          <w:p>
            <w:r>
              <w:rPr>
                <w:rFonts w:ascii="Calibri" w:cs="Calibri" w:eastAsia="Calibri" w:hAnsi="Calibri"/>
                <w:color w:val="000000"/>
                <w:sz w:val="20"/>
                <w:szCs w:val="20"/>
              </w:rPr>
              <w:t xml:space="preserve">2 GB (build time)</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5 GB (with images)</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OS</w:t>
            </w:r>
          </w:p>
        </w:tc>
        <w:tc>
          <w:tcPr>
            <w:tcW w:type="pct" w:w="30%"/>
            <w:shd w:fill="EDF3F5" w:val="clear"/>
            <w:tcMar>
              <w:top w:type="dxa" w:w="50"/>
              <w:left w:type="dxa" w:w="120"/>
              <w:bottom w:type="dxa" w:w="50"/>
              <w:right w:type="dxa" w:w="120"/>
            </w:tcMar>
          </w:tcPr>
          <w:p>
            <w:r>
              <w:rPr>
                <w:rFonts w:ascii="Calibri" w:cs="Calibri" w:eastAsia="Calibri" w:hAnsi="Calibri"/>
                <w:color w:val="000000"/>
                <w:sz w:val="20"/>
                <w:szCs w:val="20"/>
              </w:rPr>
              <w:t xml:space="preserve">Windows 10+, macOS 12+, Ubuntu 20+</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Any modern 64-bit OS</w:t>
            </w:r>
          </w:p>
        </w:tc>
      </w:tr>
    </w:tbl>
    <w:p>
      <w:pPr>
        <w:spacing w:after="120"/>
      </w:pPr>
    </w:p>
    <w:p>
      <w:pPr>
        <w:pStyle w:val="Heading2"/>
        <w:spacing w:after="120" w:before="280" w:line="312"/>
      </w:pPr>
      <w:bookmarkStart w:id="100007" w:name="_Toc100007"/>
      <w:r>
        <w:rPr>
          <w:rFonts w:ascii="Times New Roman" w:cs="Times New Roman" w:eastAsia="Times New Roman" w:hAnsi="Times New Roman"/>
          <w:b/>
          <w:bCs/>
          <w:color w:val="0B1220"/>
          <w:sz w:val="26"/>
          <w:szCs w:val="26"/>
        </w:rPr>
        <w:t xml:space="preserve">2.2 One-Click Installation (Docker)</w:t>
      </w:r>
      <w:bookmarkEnd w:id="100007"/>
    </w:p>
    <w:p>
      <w:pPr>
        <w:spacing w:after="120" w:line="312"/>
        <w:jc w:val="left"/>
      </w:pPr>
      <w:r>
        <w:rPr>
          <w:rFonts w:ascii="Calibri" w:cs="Calibri" w:eastAsia="Calibri" w:hAnsi="Calibri"/>
          <w:color w:val="000000"/>
          <w:sz w:val="22"/>
          <w:szCs w:val="22"/>
        </w:rPr>
        <w:t xml:space="preserve">The recommended installation method uses the provided install.sh script. This script performs a six-step guided installation: prerequisite checking (Docker, Git, port availability), source code download (clone or update), interactive environment configuration, Docker image building, container startup, and health check verification. To begin, clone the repository and run the installer.</w:t>
      </w:r>
    </w:p>
    <w:p>
      <w:pPr>
        <w:spacing w:after="80" w:line="312"/>
      </w:pPr>
      <w:r>
        <w:rPr>
          <w:rFonts w:ascii="Calibri" w:cs="Calibri" w:eastAsia="Calibri" w:hAnsi="Calibri"/>
          <w:b/>
          <w:bCs/>
          <w:color w:val="000000"/>
          <w:sz w:val="22"/>
          <w:szCs w:val="22"/>
        </w:rPr>
        <w:t xml:space="preserve">Step-by-step process:</w:t>
      </w:r>
    </w:p>
    <w:p>
      <w:pPr>
        <w:pStyle w:val="ListParagraph"/>
        <w:numPr>
          <w:ilvl w:val="0"/>
          <w:numId w:val="1"/>
        </w:numPr>
        <w:spacing w:after="60" w:line="312"/>
      </w:pPr>
      <w:r>
        <w:rPr>
          <w:rFonts w:ascii="Calibri" w:cs="Calibri" w:eastAsia="Calibri" w:hAnsi="Calibri"/>
          <w:color w:val="000000"/>
          <w:sz w:val="22"/>
          <w:szCs w:val="22"/>
        </w:rPr>
        <w:t xml:space="preserve">1. Clone the repository: git clone https://github.com/Soft-Dynamix/stefco-claims-dashboards.git</w:t>
      </w:r>
    </w:p>
    <w:p>
      <w:pPr>
        <w:pStyle w:val="ListParagraph"/>
        <w:numPr>
          <w:ilvl w:val="0"/>
          <w:numId w:val="1"/>
        </w:numPr>
        <w:spacing w:after="60" w:line="312"/>
      </w:pPr>
      <w:r>
        <w:rPr>
          <w:rFonts w:ascii="Calibri" w:cs="Calibri" w:eastAsia="Calibri" w:hAnsi="Calibri"/>
          <w:color w:val="000000"/>
          <w:sz w:val="22"/>
          <w:szCs w:val="22"/>
        </w:rPr>
        <w:t xml:space="preserve">2. Navigate to the directory: cd stefco-claims-dashboards</w:t>
      </w:r>
    </w:p>
    <w:p>
      <w:pPr>
        <w:pStyle w:val="ListParagraph"/>
        <w:numPr>
          <w:ilvl w:val="0"/>
          <w:numId w:val="1"/>
        </w:numPr>
        <w:spacing w:after="60" w:line="312"/>
      </w:pPr>
      <w:r>
        <w:rPr>
          <w:rFonts w:ascii="Calibri" w:cs="Calibri" w:eastAsia="Calibri" w:hAnsi="Calibri"/>
          <w:color w:val="000000"/>
          <w:sz w:val="22"/>
          <w:szCs w:val="22"/>
        </w:rPr>
        <w:t xml:space="preserve">3. Run the installer: ./install.sh</w:t>
      </w:r>
    </w:p>
    <w:p>
      <w:pPr>
        <w:pStyle w:val="ListParagraph"/>
        <w:numPr>
          <w:ilvl w:val="0"/>
          <w:numId w:val="1"/>
        </w:numPr>
        <w:spacing w:after="60" w:line="312"/>
      </w:pPr>
      <w:r>
        <w:rPr>
          <w:rFonts w:ascii="Calibri" w:cs="Calibri" w:eastAsia="Calibri" w:hAnsi="Calibri"/>
          <w:color w:val="000000"/>
          <w:sz w:val="22"/>
          <w:szCs w:val="22"/>
        </w:rPr>
        <w:t xml:space="preserve">4. Follow the interactive prompts for configuration (AI provider, IMAP/SMTP settings)</w:t>
      </w:r>
    </w:p>
    <w:p>
      <w:pPr>
        <w:pStyle w:val="ListParagraph"/>
        <w:numPr>
          <w:ilvl w:val="0"/>
          <w:numId w:val="1"/>
        </w:numPr>
        <w:spacing w:after="60" w:line="312"/>
      </w:pPr>
      <w:r>
        <w:rPr>
          <w:rFonts w:ascii="Calibri" w:cs="Calibri" w:eastAsia="Calibri" w:hAnsi="Calibri"/>
          <w:color w:val="000000"/>
          <w:sz w:val="22"/>
          <w:szCs w:val="22"/>
        </w:rPr>
        <w:t xml:space="preserve">5. Wait for Docker image build (approximately 3-5 minutes on first run)</w:t>
      </w:r>
    </w:p>
    <w:p>
      <w:pPr>
        <w:pStyle w:val="ListParagraph"/>
        <w:numPr>
          <w:ilvl w:val="0"/>
          <w:numId w:val="1"/>
        </w:numPr>
        <w:spacing w:after="60" w:line="312"/>
      </w:pPr>
      <w:r>
        <w:rPr>
          <w:rFonts w:ascii="Calibri" w:cs="Calibri" w:eastAsia="Calibri" w:hAnsi="Calibri"/>
          <w:color w:val="000000"/>
          <w:sz w:val="22"/>
          <w:szCs w:val="22"/>
        </w:rPr>
        <w:t xml:space="preserve">6. Access the dashboard at http://localhost:3000</w:t>
      </w:r>
    </w:p>
    <w:p>
      <w:pPr>
        <w:pStyle w:val="Heading2"/>
        <w:spacing w:after="120" w:before="280" w:line="312"/>
      </w:pPr>
      <w:bookmarkStart w:id="100008" w:name="_Toc100008"/>
      <w:r>
        <w:rPr>
          <w:rFonts w:ascii="Times New Roman" w:cs="Times New Roman" w:eastAsia="Times New Roman" w:hAnsi="Times New Roman"/>
          <w:b/>
          <w:bCs/>
          <w:color w:val="0B1220"/>
          <w:sz w:val="26"/>
          <w:szCs w:val="26"/>
        </w:rPr>
        <w:t xml:space="preserve">2.3 Local Development Setup</w:t>
      </w:r>
      <w:bookmarkEnd w:id="100008"/>
    </w:p>
    <w:p>
      <w:pPr>
        <w:spacing w:after="120" w:line="312"/>
        <w:jc w:val="left"/>
      </w:pPr>
      <w:r>
        <w:rPr>
          <w:rFonts w:ascii="Calibri" w:cs="Calibri" w:eastAsia="Calibri" w:hAnsi="Calibri"/>
          <w:color w:val="000000"/>
          <w:sz w:val="22"/>
          <w:szCs w:val="22"/>
        </w:rPr>
        <w:t xml:space="preserve">For active development, you can run the application locally without Docker. This provides faster iteration with hot-reload capabilities. Ensure you have Node.js 20+ and bun installed, then follow these steps:</w:t>
      </w:r>
    </w:p>
    <w:p>
      <w:pPr>
        <w:pStyle w:val="ListParagraph"/>
        <w:numPr>
          <w:ilvl w:val="0"/>
          <w:numId w:val="1"/>
        </w:numPr>
        <w:spacing w:after="60" w:line="312"/>
      </w:pPr>
      <w:r>
        <w:rPr>
          <w:rFonts w:ascii="Calibri" w:cs="Calibri" w:eastAsia="Calibri" w:hAnsi="Calibri"/>
          <w:color w:val="000000"/>
          <w:sz w:val="22"/>
          <w:szCs w:val="22"/>
        </w:rPr>
        <w:t xml:space="preserve">1. Clone the repository and navigate to the project root</w:t>
      </w:r>
    </w:p>
    <w:p>
      <w:pPr>
        <w:pStyle w:val="ListParagraph"/>
        <w:numPr>
          <w:ilvl w:val="0"/>
          <w:numId w:val="1"/>
        </w:numPr>
        <w:spacing w:after="60" w:line="312"/>
      </w:pPr>
      <w:r>
        <w:rPr>
          <w:rFonts w:ascii="Calibri" w:cs="Calibri" w:eastAsia="Calibri" w:hAnsi="Calibri"/>
          <w:color w:val="000000"/>
          <w:sz w:val="22"/>
          <w:szCs w:val="22"/>
        </w:rPr>
        <w:t xml:space="preserve">2. Install dependencies: bun install</w:t>
      </w:r>
    </w:p>
    <w:p>
      <w:pPr>
        <w:pStyle w:val="ListParagraph"/>
        <w:numPr>
          <w:ilvl w:val="0"/>
          <w:numId w:val="1"/>
        </w:numPr>
        <w:spacing w:after="60" w:line="312"/>
      </w:pPr>
      <w:r>
        <w:rPr>
          <w:rFonts w:ascii="Calibri" w:cs="Calibri" w:eastAsia="Calibri" w:hAnsi="Calibri"/>
          <w:color w:val="000000"/>
          <w:sz w:val="22"/>
          <w:szCs w:val="22"/>
        </w:rPr>
        <w:t xml:space="preserve">3. Copy the environment template: cp .env.example .env</w:t>
      </w:r>
    </w:p>
    <w:p>
      <w:pPr>
        <w:pStyle w:val="ListParagraph"/>
        <w:numPr>
          <w:ilvl w:val="0"/>
          <w:numId w:val="1"/>
        </w:numPr>
        <w:spacing w:after="60" w:line="312"/>
      </w:pPr>
      <w:r>
        <w:rPr>
          <w:rFonts w:ascii="Calibri" w:cs="Calibri" w:eastAsia="Calibri" w:hAnsi="Calibri"/>
          <w:color w:val="000000"/>
          <w:sz w:val="22"/>
          <w:szCs w:val="22"/>
        </w:rPr>
        <w:t xml:space="preserve">4. Edit .env with your configuration (AI provider key, database path)</w:t>
      </w:r>
    </w:p>
    <w:p>
      <w:pPr>
        <w:pStyle w:val="ListParagraph"/>
        <w:numPr>
          <w:ilvl w:val="0"/>
          <w:numId w:val="1"/>
        </w:numPr>
        <w:spacing w:after="60" w:line="312"/>
      </w:pPr>
      <w:r>
        <w:rPr>
          <w:rFonts w:ascii="Calibri" w:cs="Calibri" w:eastAsia="Calibri" w:hAnsi="Calibri"/>
          <w:color w:val="000000"/>
          <w:sz w:val="22"/>
          <w:szCs w:val="22"/>
        </w:rPr>
        <w:t xml:space="preserve">5. Generate the Prisma client: npx prisma generate</w:t>
      </w:r>
    </w:p>
    <w:p>
      <w:pPr>
        <w:pStyle w:val="ListParagraph"/>
        <w:numPr>
          <w:ilvl w:val="0"/>
          <w:numId w:val="1"/>
        </w:numPr>
        <w:spacing w:after="60" w:line="312"/>
      </w:pPr>
      <w:r>
        <w:rPr>
          <w:rFonts w:ascii="Calibri" w:cs="Calibri" w:eastAsia="Calibri" w:hAnsi="Calibri"/>
          <w:color w:val="000000"/>
          <w:sz w:val="22"/>
          <w:szCs w:val="22"/>
        </w:rPr>
        <w:t xml:space="preserve">6. Create the database: npx prisma db push</w:t>
      </w:r>
    </w:p>
    <w:p>
      <w:pPr>
        <w:pStyle w:val="ListParagraph"/>
        <w:numPr>
          <w:ilvl w:val="0"/>
          <w:numId w:val="1"/>
        </w:numPr>
        <w:spacing w:after="60" w:line="312"/>
      </w:pPr>
      <w:r>
        <w:rPr>
          <w:rFonts w:ascii="Calibri" w:cs="Calibri" w:eastAsia="Calibri" w:hAnsi="Calibri"/>
          <w:color w:val="000000"/>
          <w:sz w:val="22"/>
          <w:szCs w:val="22"/>
        </w:rPr>
        <w:t xml:space="preserve">7. Start the development server: bun run dev</w:t>
      </w:r>
    </w:p>
    <w:p>
      <w:pPr>
        <w:pStyle w:val="ListParagraph"/>
        <w:numPr>
          <w:ilvl w:val="0"/>
          <w:numId w:val="1"/>
        </w:numPr>
        <w:spacing w:after="60" w:line="312"/>
      </w:pPr>
      <w:r>
        <w:rPr>
          <w:rFonts w:ascii="Calibri" w:cs="Calibri" w:eastAsia="Calibri" w:hAnsi="Calibri"/>
          <w:color w:val="000000"/>
          <w:sz w:val="22"/>
          <w:szCs w:val="22"/>
        </w:rPr>
        <w:t xml:space="preserve">8. Open http://localhost:3000 in your browser</w:t>
      </w:r>
    </w:p>
    <w:p>
      <w:pPr>
        <w:spacing w:after="120" w:line="312"/>
        <w:jc w:val="left"/>
      </w:pPr>
      <w:r>
        <w:rPr>
          <w:rFonts w:ascii="Calibri" w:cs="Calibri" w:eastAsia="Calibri" w:hAnsi="Calibri"/>
          <w:color w:val="000000"/>
          <w:sz w:val="22"/>
          <w:szCs w:val="22"/>
        </w:rPr>
        <w:t xml:space="preserve">The development server runs with Turbopack for fast compilation and includes hot-reload for both API routes and UI components. Prisma query logging is enabled in development mode to help with debugging database operations.</w:t>
      </w:r>
    </w:p>
    <w:p>
      <w:pPr>
        <w:pStyle w:val="Heading1"/>
        <w:spacing w:after="160" w:before="360" w:line="312"/>
      </w:pPr>
      <w:bookmarkStart w:id="100009" w:name="_Toc100009"/>
      <w:r>
        <w:rPr>
          <w:rFonts w:ascii="Times New Roman" w:cs="Times New Roman" w:eastAsia="Times New Roman" w:hAnsi="Times New Roman"/>
          <w:b/>
          <w:bCs/>
          <w:color w:val="0B1220"/>
          <w:sz w:val="32"/>
          <w:szCs w:val="32"/>
        </w:rPr>
        <w:t xml:space="preserve">3. Configuration Guide</w:t>
      </w:r>
      <w:bookmarkEnd w:id="100009"/>
    </w:p>
    <w:p>
      <w:pPr>
        <w:spacing w:after="120" w:line="312"/>
        <w:jc w:val="left"/>
      </w:pPr>
      <w:r>
        <w:rPr>
          <w:rFonts w:ascii="Calibri" w:cs="Calibri" w:eastAsia="Calibri" w:hAnsi="Calibri"/>
          <w:color w:val="000000"/>
          <w:sz w:val="22"/>
          <w:szCs w:val="22"/>
        </w:rPr>
        <w:t xml:space="preserve">All configuration is managed through environment variables, defined in the .env file at the project root. The install.sh script creates this file during setup, or you can manually copy .env.example to .env and edit it. All settings can also be configured post-deployment through the in-app Installation Manager and Settings pages.</w:t>
      </w:r>
    </w:p>
    <w:p>
      <w:pPr>
        <w:pStyle w:val="Heading2"/>
        <w:spacing w:after="120" w:before="280" w:line="312"/>
      </w:pPr>
      <w:bookmarkStart w:id="100010" w:name="_Toc100010"/>
      <w:r>
        <w:rPr>
          <w:rFonts w:ascii="Times New Roman" w:cs="Times New Roman" w:eastAsia="Times New Roman" w:hAnsi="Times New Roman"/>
          <w:b/>
          <w:bCs/>
          <w:color w:val="0B1220"/>
          <w:sz w:val="26"/>
          <w:szCs w:val="26"/>
        </w:rPr>
        <w:t xml:space="preserve">3.1 Core Settings</w:t>
      </w:r>
      <w:bookmarkEnd w:id="100010"/>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Variable</w:t>
            </w:r>
          </w:p>
        </w:tc>
        <w:tc>
          <w:tcPr>
            <w:tcW w:type="pct" w:w="3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pct" w:w="4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DATABASE_URL</w:t>
            </w:r>
          </w:p>
        </w:tc>
        <w:tc>
          <w:tcPr>
            <w:tcW w:type="pct" w:w="30%"/>
            <w:shd w:fill="FFFFFF" w:val="clear"/>
            <w:tcMar>
              <w:top w:type="dxa" w:w="50"/>
              <w:left w:type="dxa" w:w="120"/>
              <w:bottom w:type="dxa" w:w="50"/>
              <w:right w:type="dxa" w:w="120"/>
            </w:tcMar>
          </w:tcPr>
          <w:p>
            <w:r>
              <w:rPr>
                <w:rFonts w:ascii="Calibri" w:cs="Calibri" w:eastAsia="Calibri" w:hAnsi="Calibri"/>
                <w:color w:val="000000"/>
                <w:sz w:val="20"/>
                <w:szCs w:val="20"/>
              </w:rPr>
              <w:t xml:space="preserve">file:./db/custom.db</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SQLite database file path. In Docker, use file:/app/db/custom.db</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NODE_ENV</w:t>
            </w:r>
          </w:p>
        </w:tc>
        <w:tc>
          <w:tcPr>
            <w:tcW w:type="pct" w:w="30%"/>
            <w:shd w:fill="EDF3F5" w:val="clear"/>
            <w:tcMar>
              <w:top w:type="dxa" w:w="50"/>
              <w:left w:type="dxa" w:w="120"/>
              <w:bottom w:type="dxa" w:w="50"/>
              <w:right w:type="dxa" w:w="120"/>
            </w:tcMar>
          </w:tcPr>
          <w:p>
            <w:r>
              <w:rPr>
                <w:rFonts w:ascii="Calibri" w:cs="Calibri" w:eastAsia="Calibri" w:hAnsi="Calibri"/>
                <w:color w:val="000000"/>
                <w:sz w:val="20"/>
                <w:szCs w:val="20"/>
              </w:rPr>
              <w:t xml:space="preserve">development</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Set to production for Docker deployment</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PORT</w:t>
            </w:r>
          </w:p>
        </w:tc>
        <w:tc>
          <w:tcPr>
            <w:tcW w:type="pct" w:w="30%"/>
            <w:shd w:fill="FFFFFF" w:val="clear"/>
            <w:tcMar>
              <w:top w:type="dxa" w:w="50"/>
              <w:left w:type="dxa" w:w="120"/>
              <w:bottom w:type="dxa" w:w="50"/>
              <w:right w:type="dxa" w:w="120"/>
            </w:tcMar>
          </w:tcPr>
          <w:p>
            <w:r>
              <w:rPr>
                <w:rFonts w:ascii="Calibri" w:cs="Calibri" w:eastAsia="Calibri" w:hAnsi="Calibri"/>
                <w:color w:val="000000"/>
                <w:sz w:val="20"/>
                <w:szCs w:val="20"/>
              </w:rPr>
              <w:t xml:space="preserve">3000</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Application port. Override with APP_PORT in Docker</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AI_PROVIDER</w:t>
            </w:r>
          </w:p>
        </w:tc>
        <w:tc>
          <w:tcPr>
            <w:tcW w:type="pct" w:w="30%"/>
            <w:shd w:fill="EDF3F5" w:val="clear"/>
            <w:tcMar>
              <w:top w:type="dxa" w:w="50"/>
              <w:left w:type="dxa" w:w="120"/>
              <w:bottom w:type="dxa" w:w="50"/>
              <w:right w:type="dxa" w:w="120"/>
            </w:tcMar>
          </w:tcPr>
          <w:p>
            <w:r>
              <w:rPr>
                <w:rFonts w:ascii="Calibri" w:cs="Calibri" w:eastAsia="Calibri" w:hAnsi="Calibri"/>
                <w:color w:val="000000"/>
                <w:sz w:val="20"/>
                <w:szCs w:val="20"/>
              </w:rPr>
              <w:t xml:space="preserve">gemini</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AI provider: gemini, groq, or openrouter</w:t>
            </w:r>
          </w:p>
        </w:tc>
      </w:tr>
    </w:tbl>
    <w:p>
      <w:pPr>
        <w:spacing w:after="120"/>
      </w:pPr>
    </w:p>
    <w:p>
      <w:pPr>
        <w:pStyle w:val="Heading2"/>
        <w:spacing w:after="120" w:before="280" w:line="312"/>
      </w:pPr>
      <w:bookmarkStart w:id="100011" w:name="_Toc100011"/>
      <w:r>
        <w:rPr>
          <w:rFonts w:ascii="Times New Roman" w:cs="Times New Roman" w:eastAsia="Times New Roman" w:hAnsi="Times New Roman"/>
          <w:b/>
          <w:bCs/>
          <w:color w:val="0B1220"/>
          <w:sz w:val="26"/>
          <w:szCs w:val="26"/>
        </w:rPr>
        <w:t xml:space="preserve">3.2 AI Provider Configuration</w:t>
      </w:r>
      <w:bookmarkEnd w:id="100011"/>
    </w:p>
    <w:p>
      <w:pPr>
        <w:spacing w:after="120" w:line="312"/>
        <w:jc w:val="left"/>
      </w:pPr>
      <w:r>
        <w:rPr>
          <w:rFonts w:ascii="Calibri" w:cs="Calibri" w:eastAsia="Calibri" w:hAnsi="Calibri"/>
          <w:color w:val="000000"/>
          <w:sz w:val="22"/>
          <w:szCs w:val="22"/>
        </w:rPr>
        <w:t xml:space="preserve">The dashboard supports three AI providers for email classification and data extraction. Each provider requires a valid API key. The GEMINI_API_KEY, GROQ_API_KEY, and OPENROUTER_API_KEY environment variables hold the respective credentials. Only the key matching the selected AI_PROVIDER needs to be set. Gemini is the default and recommended provider for its balance of quality and cost. Groq offers low-latency inference suitable for real-time processing. OpenRouter provides access to a wide range of models including GPT-4 and Claude.</w:t>
      </w:r>
    </w:p>
    <w:p>
      <w:pPr>
        <w:pStyle w:val="Heading2"/>
        <w:spacing w:after="120" w:before="280" w:line="312"/>
      </w:pPr>
      <w:bookmarkStart w:id="100012" w:name="_Toc100012"/>
      <w:r>
        <w:rPr>
          <w:rFonts w:ascii="Times New Roman" w:cs="Times New Roman" w:eastAsia="Times New Roman" w:hAnsi="Times New Roman"/>
          <w:b/>
          <w:bCs/>
          <w:color w:val="0B1220"/>
          <w:sz w:val="26"/>
          <w:szCs w:val="26"/>
        </w:rPr>
        <w:t xml:space="preserve">3.3 IMAP Configuration (Incoming Email)</w:t>
      </w:r>
      <w:bookmarkEnd w:id="100012"/>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Variable</w:t>
            </w:r>
          </w:p>
        </w:tc>
        <w:tc>
          <w:tcPr>
            <w:tcW w:type="pct" w:w="2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pct" w:w="5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IMAP_HOST</w:t>
            </w:r>
          </w:p>
        </w:tc>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(required)</w:t>
            </w:r>
          </w:p>
        </w:tc>
        <w:tc>
          <w:tcPr>
            <w:tcW w:type="pct" w:w="55%"/>
            <w:shd w:fill="FFFFFF" w:val="clear"/>
            <w:tcMar>
              <w:top w:type="dxa" w:w="50"/>
              <w:left w:type="dxa" w:w="120"/>
              <w:bottom w:type="dxa" w:w="50"/>
              <w:right w:type="dxa" w:w="120"/>
            </w:tcMar>
          </w:tcPr>
          <w:p>
            <w:r>
              <w:rPr>
                <w:rFonts w:ascii="Calibri" w:cs="Calibri" w:eastAsia="Calibri" w:hAnsi="Calibri"/>
                <w:color w:val="000000"/>
                <w:sz w:val="20"/>
                <w:szCs w:val="20"/>
              </w:rPr>
              <w:t xml:space="preserve">IMAP server hostname, e.g., imap.gmail.com</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IMAP_PORT</w:t>
            </w:r>
          </w:p>
        </w:tc>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993</w:t>
            </w:r>
          </w:p>
        </w:tc>
        <w:tc>
          <w:tcPr>
            <w:tcW w:type="pct" w:w="55%"/>
            <w:shd w:fill="EDF3F5" w:val="clear"/>
            <w:tcMar>
              <w:top w:type="dxa" w:w="50"/>
              <w:left w:type="dxa" w:w="120"/>
              <w:bottom w:type="dxa" w:w="50"/>
              <w:right w:type="dxa" w:w="120"/>
            </w:tcMar>
          </w:tcPr>
          <w:p>
            <w:r>
              <w:rPr>
                <w:rFonts w:ascii="Calibri" w:cs="Calibri" w:eastAsia="Calibri" w:hAnsi="Calibri"/>
                <w:color w:val="000000"/>
                <w:sz w:val="20"/>
                <w:szCs w:val="20"/>
              </w:rPr>
              <w:t xml:space="preserve">IMAP port (993 for SSL, 143 for STARTTLS)</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IMAP_USER</w:t>
            </w:r>
          </w:p>
        </w:tc>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(required)</w:t>
            </w:r>
          </w:p>
        </w:tc>
        <w:tc>
          <w:tcPr>
            <w:tcW w:type="pct" w:w="55%"/>
            <w:shd w:fill="FFFFFF" w:val="clear"/>
            <w:tcMar>
              <w:top w:type="dxa" w:w="50"/>
              <w:left w:type="dxa" w:w="120"/>
              <w:bottom w:type="dxa" w:w="50"/>
              <w:right w:type="dxa" w:w="120"/>
            </w:tcMar>
          </w:tcPr>
          <w:p>
            <w:r>
              <w:rPr>
                <w:rFonts w:ascii="Calibri" w:cs="Calibri" w:eastAsia="Calibri" w:hAnsi="Calibri"/>
                <w:color w:val="000000"/>
                <w:sz w:val="20"/>
                <w:szCs w:val="20"/>
              </w:rPr>
              <w:t xml:space="preserve">Email address for IMAP authentication</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IMAP_PASSWORD</w:t>
            </w:r>
          </w:p>
        </w:tc>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(required)</w:t>
            </w:r>
          </w:p>
        </w:tc>
        <w:tc>
          <w:tcPr>
            <w:tcW w:type="pct" w:w="55%"/>
            <w:shd w:fill="EDF3F5" w:val="clear"/>
            <w:tcMar>
              <w:top w:type="dxa" w:w="50"/>
              <w:left w:type="dxa" w:w="120"/>
              <w:bottom w:type="dxa" w:w="50"/>
              <w:right w:type="dxa" w:w="120"/>
            </w:tcMar>
          </w:tcPr>
          <w:p>
            <w:r>
              <w:rPr>
                <w:rFonts w:ascii="Calibri" w:cs="Calibri" w:eastAsia="Calibri" w:hAnsi="Calibri"/>
                <w:color w:val="000000"/>
                <w:sz w:val="20"/>
                <w:szCs w:val="20"/>
              </w:rPr>
              <w:t xml:space="preserve">Password or app-specific password</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IMAP_SSL</w:t>
            </w:r>
          </w:p>
        </w:tc>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true</w:t>
            </w:r>
          </w:p>
        </w:tc>
        <w:tc>
          <w:tcPr>
            <w:tcW w:type="pct" w:w="55%"/>
            <w:shd w:fill="FFFFFF" w:val="clear"/>
            <w:tcMar>
              <w:top w:type="dxa" w:w="50"/>
              <w:left w:type="dxa" w:w="120"/>
              <w:bottom w:type="dxa" w:w="50"/>
              <w:right w:type="dxa" w:w="120"/>
            </w:tcMar>
          </w:tcPr>
          <w:p>
            <w:r>
              <w:rPr>
                <w:rFonts w:ascii="Calibri" w:cs="Calibri" w:eastAsia="Calibri" w:hAnsi="Calibri"/>
                <w:color w:val="000000"/>
                <w:sz w:val="20"/>
                <w:szCs w:val="20"/>
              </w:rPr>
              <w:t xml:space="preserve">Enable SSL/TLS encryption</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IMAP_TLS</w:t>
            </w:r>
          </w:p>
        </w:tc>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true</w:t>
            </w:r>
          </w:p>
        </w:tc>
        <w:tc>
          <w:tcPr>
            <w:tcW w:type="pct" w:w="55%"/>
            <w:shd w:fill="EDF3F5" w:val="clear"/>
            <w:tcMar>
              <w:top w:type="dxa" w:w="50"/>
              <w:left w:type="dxa" w:w="120"/>
              <w:bottom w:type="dxa" w:w="50"/>
              <w:right w:type="dxa" w:w="120"/>
            </w:tcMar>
          </w:tcPr>
          <w:p>
            <w:r>
              <w:rPr>
                <w:rFonts w:ascii="Calibri" w:cs="Calibri" w:eastAsia="Calibri" w:hAnsi="Calibri"/>
                <w:color w:val="000000"/>
                <w:sz w:val="20"/>
                <w:szCs w:val="20"/>
              </w:rPr>
              <w:t xml:space="preserve">Enable STARTTLS support</w:t>
            </w:r>
          </w:p>
        </w:tc>
      </w:tr>
    </w:tbl>
    <w:p>
      <w:pPr>
        <w:spacing w:after="120"/>
      </w:pPr>
    </w:p>
    <w:p>
      <w:pPr>
        <w:spacing w:after="120" w:line="312"/>
        <w:jc w:val="left"/>
      </w:pPr>
      <w:r>
        <w:rPr>
          <w:rFonts w:ascii="Calibri" w:cs="Calibri" w:eastAsia="Calibri" w:hAnsi="Calibri"/>
          <w:color w:val="000000"/>
          <w:sz w:val="22"/>
          <w:szCs w:val="22"/>
        </w:rPr>
        <w:t xml:space="preserve">For Gmail, you must create an App Password from your Google Account settings (2-Step Verification must be enabled). Standard account passwords will not work with IMAP. For Microsoft 365, use Basic Authentication with an app password or OAuth2 if available.</w:t>
      </w:r>
    </w:p>
    <w:p>
      <w:pPr>
        <w:pStyle w:val="Heading2"/>
        <w:spacing w:after="120" w:before="280" w:line="312"/>
      </w:pPr>
      <w:bookmarkStart w:id="100013" w:name="_Toc100013"/>
      <w:r>
        <w:rPr>
          <w:rFonts w:ascii="Times New Roman" w:cs="Times New Roman" w:eastAsia="Times New Roman" w:hAnsi="Times New Roman"/>
          <w:b/>
          <w:bCs/>
          <w:color w:val="0B1220"/>
          <w:sz w:val="26"/>
          <w:szCs w:val="26"/>
        </w:rPr>
        <w:t xml:space="preserve">3.4 SMTP Configuration (Outgoing Email)</w:t>
      </w:r>
      <w:bookmarkEnd w:id="100013"/>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Variable</w:t>
            </w:r>
          </w:p>
        </w:tc>
        <w:tc>
          <w:tcPr>
            <w:tcW w:type="pct" w:w="2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pct" w:w="5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SMTP_HOST</w:t>
            </w:r>
          </w:p>
        </w:tc>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(optional)</w:t>
            </w:r>
          </w:p>
        </w:tc>
        <w:tc>
          <w:tcPr>
            <w:tcW w:type="pct" w:w="55%"/>
            <w:shd w:fill="FFFFFF" w:val="clear"/>
            <w:tcMar>
              <w:top w:type="dxa" w:w="50"/>
              <w:left w:type="dxa" w:w="120"/>
              <w:bottom w:type="dxa" w:w="50"/>
              <w:right w:type="dxa" w:w="120"/>
            </w:tcMar>
          </w:tcPr>
          <w:p>
            <w:r>
              <w:rPr>
                <w:rFonts w:ascii="Calibri" w:cs="Calibri" w:eastAsia="Calibri" w:hAnsi="Calibri"/>
                <w:color w:val="000000"/>
                <w:sz w:val="20"/>
                <w:szCs w:val="20"/>
              </w:rPr>
              <w:t xml:space="preserve">SMTP server hostname, e.g., smtp.gmail.com</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SMTP_PORT</w:t>
            </w:r>
          </w:p>
        </w:tc>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587</w:t>
            </w:r>
          </w:p>
        </w:tc>
        <w:tc>
          <w:tcPr>
            <w:tcW w:type="pct" w:w="55%"/>
            <w:shd w:fill="EDF3F5" w:val="clear"/>
            <w:tcMar>
              <w:top w:type="dxa" w:w="50"/>
              <w:left w:type="dxa" w:w="120"/>
              <w:bottom w:type="dxa" w:w="50"/>
              <w:right w:type="dxa" w:w="120"/>
            </w:tcMar>
          </w:tcPr>
          <w:p>
            <w:r>
              <w:rPr>
                <w:rFonts w:ascii="Calibri" w:cs="Calibri" w:eastAsia="Calibri" w:hAnsi="Calibri"/>
                <w:color w:val="000000"/>
                <w:sz w:val="20"/>
                <w:szCs w:val="20"/>
              </w:rPr>
              <w:t xml:space="preserve">SMTP port (587 for TLS, 465 for SSL)</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SMTP_USER</w:t>
            </w:r>
          </w:p>
        </w:tc>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(optional)</w:t>
            </w:r>
          </w:p>
        </w:tc>
        <w:tc>
          <w:tcPr>
            <w:tcW w:type="pct" w:w="55%"/>
            <w:shd w:fill="FFFFFF" w:val="clear"/>
            <w:tcMar>
              <w:top w:type="dxa" w:w="50"/>
              <w:left w:type="dxa" w:w="120"/>
              <w:bottom w:type="dxa" w:w="50"/>
              <w:right w:type="dxa" w:w="120"/>
            </w:tcMar>
          </w:tcPr>
          <w:p>
            <w:r>
              <w:rPr>
                <w:rFonts w:ascii="Calibri" w:cs="Calibri" w:eastAsia="Calibri" w:hAnsi="Calibri"/>
                <w:color w:val="000000"/>
                <w:sz w:val="20"/>
                <w:szCs w:val="20"/>
              </w:rPr>
              <w:t xml:space="preserve">Email address for SMTP authentication</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SMTP_PASSWORD</w:t>
            </w:r>
          </w:p>
        </w:tc>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(optional)</w:t>
            </w:r>
          </w:p>
        </w:tc>
        <w:tc>
          <w:tcPr>
            <w:tcW w:type="pct" w:w="55%"/>
            <w:shd w:fill="EDF3F5" w:val="clear"/>
            <w:tcMar>
              <w:top w:type="dxa" w:w="50"/>
              <w:left w:type="dxa" w:w="120"/>
              <w:bottom w:type="dxa" w:w="50"/>
              <w:right w:type="dxa" w:w="120"/>
            </w:tcMar>
          </w:tcPr>
          <w:p>
            <w:r>
              <w:rPr>
                <w:rFonts w:ascii="Calibri" w:cs="Calibri" w:eastAsia="Calibri" w:hAnsi="Calibri"/>
                <w:color w:val="000000"/>
                <w:sz w:val="20"/>
                <w:szCs w:val="20"/>
              </w:rPr>
              <w:t xml:space="preserve">SMTP password or app-specific password</w:t>
            </w:r>
          </w:p>
        </w:tc>
      </w:tr>
      <w:tr>
        <w:trPr>
          <w:cantSplit/>
        </w:trPr>
        <w:tc>
          <w:tcPr>
            <w:tcW w:type="pct" w:w="25%"/>
            <w:shd w:fill="FFFFFF" w:val="clear"/>
            <w:tcMar>
              <w:top w:type="dxa" w:w="50"/>
              <w:left w:type="dxa" w:w="120"/>
              <w:bottom w:type="dxa" w:w="50"/>
              <w:right w:type="dxa" w:w="120"/>
            </w:tcMar>
          </w:tcPr>
          <w:p>
            <w:r>
              <w:rPr>
                <w:rFonts w:ascii="Calibri" w:cs="Calibri" w:eastAsia="Calibri" w:hAnsi="Calibri"/>
                <w:color w:val="000000"/>
                <w:sz w:val="20"/>
                <w:szCs w:val="20"/>
              </w:rPr>
              <w:t xml:space="preserve">SMTP_FROM_EMAIL</w:t>
            </w:r>
          </w:p>
        </w:tc>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(optional)</w:t>
            </w:r>
          </w:p>
        </w:tc>
        <w:tc>
          <w:tcPr>
            <w:tcW w:type="pct" w:w="55%"/>
            <w:shd w:fill="FFFFFF" w:val="clear"/>
            <w:tcMar>
              <w:top w:type="dxa" w:w="50"/>
              <w:left w:type="dxa" w:w="120"/>
              <w:bottom w:type="dxa" w:w="50"/>
              <w:right w:type="dxa" w:w="120"/>
            </w:tcMar>
          </w:tcPr>
          <w:p>
            <w:r>
              <w:rPr>
                <w:rFonts w:ascii="Calibri" w:cs="Calibri" w:eastAsia="Calibri" w:hAnsi="Calibri"/>
                <w:color w:val="000000"/>
                <w:sz w:val="20"/>
                <w:szCs w:val="20"/>
              </w:rPr>
              <w:t xml:space="preserve">Sender email address for auto-replies</w:t>
            </w:r>
          </w:p>
        </w:tc>
      </w:tr>
      <w:tr>
        <w:trPr>
          <w:cantSplit/>
        </w:trPr>
        <w:tc>
          <w:tcPr>
            <w:tcW w:type="pct" w:w="25%"/>
            <w:shd w:fill="EDF3F5" w:val="clear"/>
            <w:tcMar>
              <w:top w:type="dxa" w:w="50"/>
              <w:left w:type="dxa" w:w="120"/>
              <w:bottom w:type="dxa" w:w="50"/>
              <w:right w:type="dxa" w:w="120"/>
            </w:tcMar>
          </w:tcPr>
          <w:p>
            <w:r>
              <w:rPr>
                <w:rFonts w:ascii="Calibri" w:cs="Calibri" w:eastAsia="Calibri" w:hAnsi="Calibri"/>
                <w:color w:val="000000"/>
                <w:sz w:val="20"/>
                <w:szCs w:val="20"/>
              </w:rPr>
              <w:t xml:space="preserve">SMTP_FROM_NAME</w:t>
            </w:r>
          </w:p>
        </w:tc>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Stefco Claims Dashboard</w:t>
            </w:r>
          </w:p>
        </w:tc>
        <w:tc>
          <w:tcPr>
            <w:tcW w:type="pct" w:w="55%"/>
            <w:shd w:fill="EDF3F5" w:val="clear"/>
            <w:tcMar>
              <w:top w:type="dxa" w:w="50"/>
              <w:left w:type="dxa" w:w="120"/>
              <w:bottom w:type="dxa" w:w="50"/>
              <w:right w:type="dxa" w:w="120"/>
            </w:tcMar>
          </w:tcPr>
          <w:p>
            <w:r>
              <w:rPr>
                <w:rFonts w:ascii="Calibri" w:cs="Calibri" w:eastAsia="Calibri" w:hAnsi="Calibri"/>
                <w:color w:val="000000"/>
                <w:sz w:val="20"/>
                <w:szCs w:val="20"/>
              </w:rPr>
              <w:t xml:space="preserve">Display name for auto-reply emails</w:t>
            </w:r>
          </w:p>
        </w:tc>
      </w:tr>
    </w:tbl>
    <w:p>
      <w:pPr>
        <w:spacing w:after="120"/>
      </w:pPr>
    </w:p>
    <w:p>
      <w:pPr>
        <w:pStyle w:val="Heading1"/>
        <w:spacing w:after="160" w:before="360" w:line="312"/>
      </w:pPr>
      <w:bookmarkStart w:id="100014" w:name="_Toc100014"/>
      <w:r>
        <w:rPr>
          <w:rFonts w:ascii="Times New Roman" w:cs="Times New Roman" w:eastAsia="Times New Roman" w:hAnsi="Times New Roman"/>
          <w:b/>
          <w:bCs/>
          <w:color w:val="0B1220"/>
          <w:sz w:val="32"/>
          <w:szCs w:val="32"/>
        </w:rPr>
        <w:t xml:space="preserve">4. Database Schema</w:t>
      </w:r>
      <w:bookmarkEnd w:id="100014"/>
    </w:p>
    <w:p>
      <w:pPr>
        <w:spacing w:after="120" w:line="312"/>
        <w:jc w:val="left"/>
      </w:pPr>
      <w:r>
        <w:rPr>
          <w:rFonts w:ascii="Calibri" w:cs="Calibri" w:eastAsia="Calibri" w:hAnsi="Calibri"/>
          <w:color w:val="000000"/>
          <w:sz w:val="22"/>
          <w:szCs w:val="22"/>
        </w:rPr>
        <w:t xml:space="preserve">The application uses SQLite as its database engine, managed through Prisma ORM. The schema defines 14 models that handle claims, emails, learning data, configuration, and audit trails. The database is created automatically on first run from a template built during the Docker image creation process.</w:t>
      </w:r>
    </w:p>
    <w:p>
      <w:pPr>
        <w:pStyle w:val="Heading2"/>
        <w:spacing w:after="120" w:before="280" w:line="312"/>
      </w:pPr>
      <w:bookmarkStart w:id="100015" w:name="_Toc100015"/>
      <w:r>
        <w:rPr>
          <w:rFonts w:ascii="Times New Roman" w:cs="Times New Roman" w:eastAsia="Times New Roman" w:hAnsi="Times New Roman"/>
          <w:b/>
          <w:bCs/>
          <w:color w:val="0B1220"/>
          <w:sz w:val="26"/>
          <w:szCs w:val="26"/>
        </w:rPr>
        <w:t xml:space="preserve">4.1 Core Models</w:t>
      </w:r>
      <w:bookmarkEnd w:id="100015"/>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Model</w:t>
            </w:r>
          </w:p>
        </w:tc>
        <w:tc>
          <w:tcPr>
            <w:tcW w:type="pct" w:w="3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c>
          <w:tcPr>
            <w:tcW w:type="pct" w:w="4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Key Fields</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InsuranceCompany</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Insurance company registry with domain mappings</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name, folderName, senderDomains (JSON), isActive</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Claim</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Central claim record with all extracted and user-verified data</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claimNumber (unique), clientName, status, insuranceCompanyId, AI confidence scores, processing stage</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EmailQueue</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Emails awaiting processing or human review</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messageId (unique), body, aiClassification, status (pending/ai_analyzed/user_reviewing/claim_created/ignored)</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LearningPattern</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Learned extraction patterns per sender domain</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senderDomain, fieldName, patternHint, correctionCount, confidence (50-95)</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ClassificationKnowledge</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Few-shot examples for AI classifier training</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senderDomain, subject, originalClassification, correctedClassification, confidence</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SenderPattern</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Aggregated statistics per sender domain</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totalEmails, newClaimCount, accuracyRate, classificationHints (JSON)</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SenderIgnoreRule</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Auto-ignore rules for non-claim email senders</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senderDomain, category (spam/marketing/etc), ignoreCount, isActive</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ClaimFeedback</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User feedback on claim accuracy</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feedbackType (confirmed/flagged/corrected), fieldName, originalValue, correctedValue</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Prediction</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Full AI prediction with alternatives and reasoning</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predictedClass, confidence, alternatives (JSON), decision, learningHintsCount</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ExtractedEntity</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Preprocessed signals from emails</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possibleClaimNumber, personNames (JSON), dates (JSON), keywords (JSON)</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AuditLog</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Complete audit trail of all system actions</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action, details, status (SUCCESS/WARNING/ERROR), processedBy (AUTO/MANUAL)</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PrintQueueItem</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Documents queued for printing</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fileName, printStatus (QUEUED/PRINTING/COMPLETED/FAILED)</w:t>
            </w:r>
          </w:p>
        </w:tc>
      </w:tr>
      <w:tr>
        <w:trPr>
          <w:cantSplit/>
        </w:trPr>
        <w:tc>
          <w:tcPr>
            <w:tcW w:type="pct" w:w="20%"/>
            <w:shd w:fill="FFFFFF" w:val="clear"/>
            <w:tcMar>
              <w:top w:type="dxa" w:w="50"/>
              <w:left w:type="dxa" w:w="120"/>
              <w:bottom w:type="dxa" w:w="50"/>
              <w:right w:type="dxa" w:w="120"/>
            </w:tcMar>
          </w:tcPr>
          <w:p>
            <w:r>
              <w:rPr>
                <w:rFonts w:ascii="Calibri" w:cs="Calibri" w:eastAsia="Calibri" w:hAnsi="Calibri"/>
                <w:color w:val="000000"/>
                <w:sz w:val="20"/>
                <w:szCs w:val="20"/>
              </w:rPr>
              <w:t xml:space="preserve">SystemConfig</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Key-value system configuration store</w:t>
            </w:r>
          </w:p>
        </w:tc>
        <w:tc>
          <w:tcPr>
            <w:tcW w:type="pct" w:w="45%"/>
            <w:shd w:fill="FFFFFF" w:val="clear"/>
            <w:tcMar>
              <w:top w:type="dxa" w:w="50"/>
              <w:left w:type="dxa" w:w="120"/>
              <w:bottom w:type="dxa" w:w="50"/>
              <w:right w:type="dxa" w:w="120"/>
            </w:tcMar>
          </w:tcPr>
          <w:p>
            <w:r>
              <w:rPr>
                <w:rFonts w:ascii="Calibri" w:cs="Calibri" w:eastAsia="Calibri" w:hAnsi="Calibri"/>
                <w:color w:val="000000"/>
                <w:sz w:val="20"/>
                <w:szCs w:val="20"/>
              </w:rPr>
              <w:t xml:space="preserve">key (unique), value</w:t>
            </w:r>
          </w:p>
        </w:tc>
      </w:tr>
      <w:tr>
        <w:trPr>
          <w:cantSplit/>
        </w:trPr>
        <w:tc>
          <w:tcPr>
            <w:tcW w:type="pct" w:w="20%"/>
            <w:shd w:fill="EDF3F5" w:val="clear"/>
            <w:tcMar>
              <w:top w:type="dxa" w:w="50"/>
              <w:left w:type="dxa" w:w="120"/>
              <w:bottom w:type="dxa" w:w="50"/>
              <w:right w:type="dxa" w:w="120"/>
            </w:tcMar>
          </w:tcPr>
          <w:p>
            <w:r>
              <w:rPr>
                <w:rFonts w:ascii="Calibri" w:cs="Calibri" w:eastAsia="Calibri" w:hAnsi="Calibri"/>
                <w:color w:val="000000"/>
                <w:sz w:val="20"/>
                <w:szCs w:val="20"/>
              </w:rPr>
              <w:t xml:space="preserve">WorkflowStage</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Configurable workflow stages</w:t>
            </w:r>
          </w:p>
        </w:tc>
        <w:tc>
          <w:tcPr>
            <w:tcW w:type="pct" w:w="45%"/>
            <w:shd w:fill="EDF3F5" w:val="clear"/>
            <w:tcMar>
              <w:top w:type="dxa" w:w="50"/>
              <w:left w:type="dxa" w:w="120"/>
              <w:bottom w:type="dxa" w:w="50"/>
              <w:right w:type="dxa" w:w="120"/>
            </w:tcMar>
          </w:tcPr>
          <w:p>
            <w:r>
              <w:rPr>
                <w:rFonts w:ascii="Calibri" w:cs="Calibri" w:eastAsia="Calibri" w:hAnsi="Calibri"/>
                <w:color w:val="000000"/>
                <w:sz w:val="20"/>
                <w:szCs w:val="20"/>
              </w:rPr>
              <w:t xml:space="preserve">stageKey (unique), label, sortOrder, isEnabled, config (JSON)</w:t>
            </w:r>
          </w:p>
        </w:tc>
      </w:tr>
    </w:tbl>
    <w:p>
      <w:pPr>
        <w:spacing w:after="120"/>
      </w:pPr>
    </w:p>
    <w:p>
      <w:pPr>
        <w:pStyle w:val="Heading1"/>
        <w:spacing w:after="160" w:before="360" w:line="312"/>
      </w:pPr>
      <w:bookmarkStart w:id="100016" w:name="_Toc100016"/>
      <w:r>
        <w:rPr>
          <w:rFonts w:ascii="Times New Roman" w:cs="Times New Roman" w:eastAsia="Times New Roman" w:hAnsi="Times New Roman"/>
          <w:b/>
          <w:bCs/>
          <w:color w:val="0B1220"/>
          <w:sz w:val="32"/>
          <w:szCs w:val="32"/>
        </w:rPr>
        <w:t xml:space="preserve">5. API Reference</w:t>
      </w:r>
      <w:bookmarkEnd w:id="100016"/>
    </w:p>
    <w:p>
      <w:pPr>
        <w:spacing w:after="120" w:line="312"/>
        <w:jc w:val="left"/>
      </w:pPr>
      <w:r>
        <w:rPr>
          <w:rFonts w:ascii="Calibri" w:cs="Calibri" w:eastAsia="Calibri" w:hAnsi="Calibri"/>
          <w:color w:val="000000"/>
          <w:sz w:val="22"/>
          <w:szCs w:val="22"/>
        </w:rPr>
        <w:t xml:space="preserve">The application exposes a comprehensive REST API through Next.js App Router API routes. All endpoints return JSON. Authentication is not currently enforced (single-user deployment model) but can be added via next-auth integration. Below are the key API endpoints organized by functional area.</w:t>
      </w:r>
    </w:p>
    <w:p>
      <w:pPr>
        <w:pStyle w:val="Heading2"/>
        <w:spacing w:after="120" w:before="280" w:line="312"/>
      </w:pPr>
      <w:bookmarkStart w:id="100017" w:name="_Toc100017"/>
      <w:r>
        <w:rPr>
          <w:rFonts w:ascii="Times New Roman" w:cs="Times New Roman" w:eastAsia="Times New Roman" w:hAnsi="Times New Roman"/>
          <w:b/>
          <w:bCs/>
          <w:color w:val="0B1220"/>
          <w:sz w:val="26"/>
          <w:szCs w:val="26"/>
        </w:rPr>
        <w:t xml:space="preserve">5.1 Health and System</w:t>
      </w:r>
      <w:bookmarkEnd w:id="100017"/>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tcW w:type="pct" w:w="4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Endpoint</w:t>
            </w:r>
          </w:p>
        </w:tc>
        <w:tc>
          <w:tcPr>
            <w:tcW w:type="pct" w:w="5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/api/health</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Health check endpoint used by Docker healthcheck</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/api/config</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Read current system configuration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/api/dashboard</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Dashboard aggregated statistics</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/api/seed</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Seed database with sample data for testing</w:t>
            </w:r>
          </w:p>
        </w:tc>
      </w:tr>
    </w:tbl>
    <w:p>
      <w:pPr>
        <w:spacing w:after="120"/>
      </w:pPr>
    </w:p>
    <w:p>
      <w:pPr>
        <w:pStyle w:val="Heading2"/>
        <w:spacing w:after="120" w:before="280" w:line="312"/>
      </w:pPr>
      <w:bookmarkStart w:id="100018" w:name="_Toc100018"/>
      <w:r>
        <w:rPr>
          <w:rFonts w:ascii="Times New Roman" w:cs="Times New Roman" w:eastAsia="Times New Roman" w:hAnsi="Times New Roman"/>
          <w:b/>
          <w:bCs/>
          <w:color w:val="0B1220"/>
          <w:sz w:val="26"/>
          <w:szCs w:val="26"/>
        </w:rPr>
        <w:t xml:space="preserve">5.2 Claims Management</w:t>
      </w:r>
      <w:bookmarkEnd w:id="100018"/>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tcW w:type="pct" w:w="4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Endpoint</w:t>
            </w:r>
          </w:p>
        </w:tc>
        <w:tc>
          <w:tcPr>
            <w:tcW w:type="pct" w:w="5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/api/claims</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List all claims with filtering and pagination</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/api/claims</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Create a new claim manually</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/api/claims/[id]</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Get claim details by ID</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PUT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/api/claims/[id]</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Update claim fields</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/api/claims/[id]/process</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Process a claim (advance workflow stage)</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/api/claims/[id]/feedback</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Submit user feedback on claim accuracy</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/api/claims/[id]/notes</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Get claim notes timeline</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/api/claims/[id]/notes</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Add a note to a claim</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/api/claims/analytics</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Claims analytics and statistics</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/api/claims/aging</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Claims aging report</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/api/claims/quick-counts</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Quick status counts for dashboard badges</w:t>
            </w:r>
          </w:p>
        </w:tc>
      </w:tr>
    </w:tbl>
    <w:p>
      <w:pPr>
        <w:spacing w:after="120"/>
      </w:pPr>
    </w:p>
    <w:p>
      <w:pPr>
        <w:pStyle w:val="Heading2"/>
        <w:spacing w:after="120" w:before="280" w:line="312"/>
      </w:pPr>
      <w:bookmarkStart w:id="100019" w:name="_Toc100019"/>
      <w:r>
        <w:rPr>
          <w:rFonts w:ascii="Times New Roman" w:cs="Times New Roman" w:eastAsia="Times New Roman" w:hAnsi="Times New Roman"/>
          <w:b/>
          <w:bCs/>
          <w:color w:val="0B1220"/>
          <w:sz w:val="26"/>
          <w:szCs w:val="26"/>
        </w:rPr>
        <w:t xml:space="preserve">5.3 Email Processing</w:t>
      </w:r>
      <w:bookmarkEnd w:id="100019"/>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tcW w:type="pct" w:w="4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Endpoint</w:t>
            </w:r>
          </w:p>
        </w:tc>
        <w:tc>
          <w:tcPr>
            <w:tcW w:type="pct" w:w="5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/api/email-poll</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Trigger manual email poll</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/api/email-poll/status</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Get current polling status</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/api/email-poll/scheduler</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Start/stop auto-polling scheduler</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/api/email-inbox</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List emails in the review queue</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/api/email-inbox/[id]</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Get full email details for review</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/api/email-inbox/[id]/analyze</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Run AI analysis on a queued email</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/api/email-inbox/[id]/create-claim</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Create claim from reviewed email</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/api/email-inbox/[id]/skip</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Skip/ignore an email with optional reason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/api/process-email</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Process a raw email through the full pipeline</w:t>
            </w:r>
          </w:p>
        </w:tc>
      </w:tr>
    </w:tbl>
    <w:p>
      <w:pPr>
        <w:spacing w:after="120"/>
      </w:pPr>
    </w:p>
    <w:p>
      <w:pPr>
        <w:pStyle w:val="Heading2"/>
        <w:spacing w:after="120" w:before="280" w:line="312"/>
      </w:pPr>
      <w:bookmarkStart w:id="100020" w:name="_Toc100020"/>
      <w:r>
        <w:rPr>
          <w:rFonts w:ascii="Times New Roman" w:cs="Times New Roman" w:eastAsia="Times New Roman" w:hAnsi="Times New Roman"/>
          <w:b/>
          <w:bCs/>
          <w:color w:val="0B1220"/>
          <w:sz w:val="26"/>
          <w:szCs w:val="26"/>
        </w:rPr>
        <w:t xml:space="preserve">5.4 Learning Engine</w:t>
      </w:r>
      <w:bookmarkEnd w:id="100020"/>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tcW w:type="pct" w:w="4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Endpoint</w:t>
            </w:r>
          </w:p>
        </w:tc>
        <w:tc>
          <w:tcPr>
            <w:tcW w:type="pct" w:w="5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/api/learning/stats</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Get comprehensive learning system statistics</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/api/learning/analyze</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Analyze learning patterns for a sender domain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/api/learning/batch-train</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Batch train from historical feedback data</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/api/learning/smart-classify</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Smart classification with learning hints applied</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/api/learning/auto-classify-status</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Get auto-classification status per sender</w:t>
            </w:r>
          </w:p>
        </w:tc>
      </w:tr>
    </w:tbl>
    <w:p>
      <w:pPr>
        <w:spacing w:after="120"/>
      </w:pPr>
    </w:p>
    <w:p>
      <w:pPr>
        <w:pStyle w:val="Heading2"/>
        <w:spacing w:after="120" w:before="280" w:line="312"/>
      </w:pPr>
      <w:bookmarkStart w:id="100021" w:name="_Toc100021"/>
      <w:r>
        <w:rPr>
          <w:rFonts w:ascii="Times New Roman" w:cs="Times New Roman" w:eastAsia="Times New Roman" w:hAnsi="Times New Roman"/>
          <w:b/>
          <w:bCs/>
          <w:color w:val="0B1220"/>
          <w:sz w:val="26"/>
          <w:szCs w:val="26"/>
        </w:rPr>
        <w:t xml:space="preserve">5.5 Insurance Companies</w:t>
      </w:r>
      <w:bookmarkEnd w:id="100021"/>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tcW w:type="pct" w:w="4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Endpoint</w:t>
            </w:r>
          </w:p>
        </w:tc>
        <w:tc>
          <w:tcPr>
            <w:tcW w:type="pct" w:w="5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/api/insurance</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List all registered insurance companies</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POST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/api/insurance</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Register a new insurance company</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/api/insurance/[id]</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Get insurance company details</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PUT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/api/insurance/[id]</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Update insurance company information</w:t>
            </w:r>
          </w:p>
        </w:tc>
      </w:tr>
      <w:tr>
        <w:trPr>
          <w:cantSplit/>
        </w:trPr>
        <w:tc>
          <w:tcPr>
            <w:tcW w:type="pct" w:w="10%"/>
            <w:shd w:fill="FFFFFF"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FFFFFF" w:val="clear"/>
            <w:tcMar>
              <w:top w:type="dxa" w:w="50"/>
              <w:left w:type="dxa" w:w="120"/>
              <w:bottom w:type="dxa" w:w="50"/>
              <w:right w:type="dxa" w:w="120"/>
            </w:tcMar>
          </w:tcPr>
          <w:p>
            <w:r>
              <w:rPr>
                <w:rFonts w:ascii="Calibri" w:cs="Calibri" w:eastAsia="Calibri" w:hAnsi="Calibri"/>
                <w:color w:val="000000"/>
                <w:sz w:val="20"/>
                <w:szCs w:val="20"/>
              </w:rPr>
              <w:t xml:space="preserve">/api/insurance/comparison</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Compare metrics across companies</w:t>
            </w:r>
          </w:p>
        </w:tc>
      </w:tr>
      <w:tr>
        <w:trPr>
          <w:cantSplit/>
        </w:trPr>
        <w:tc>
          <w:tcPr>
            <w:tcW w:type="pct" w:w="10%"/>
            <w:shd w:fill="EDF3F5" w:val="clear"/>
            <w:tcMar>
              <w:top w:type="dxa" w:w="50"/>
              <w:left w:type="dxa" w:w="120"/>
              <w:bottom w:type="dxa" w:w="50"/>
              <w:right w:type="dxa" w:w="120"/>
            </w:tcMar>
          </w:tcPr>
          <w:p>
            <w:r>
              <w:rPr>
                <w:rFonts w:ascii="Calibri" w:cs="Calibri" w:eastAsia="Calibri" w:hAnsi="Calibri"/>
                <w:color w:val="000000"/>
                <w:sz w:val="20"/>
                <w:szCs w:val="20"/>
              </w:rPr>
              <w:t xml:space="preserve">GET</w:t>
            </w:r>
          </w:p>
        </w:tc>
        <w:tc>
          <w:tcPr>
            <w:tcW w:type="pct" w:w="40%"/>
            <w:shd w:fill="EDF3F5" w:val="clear"/>
            <w:tcMar>
              <w:top w:type="dxa" w:w="50"/>
              <w:left w:type="dxa" w:w="120"/>
              <w:bottom w:type="dxa" w:w="50"/>
              <w:right w:type="dxa" w:w="120"/>
            </w:tcMar>
          </w:tcPr>
          <w:p>
            <w:r>
              <w:rPr>
                <w:rFonts w:ascii="Calibri" w:cs="Calibri" w:eastAsia="Calibri" w:hAnsi="Calibri"/>
                <w:color w:val="000000"/>
                <w:sz w:val="20"/>
                <w:szCs w:val="20"/>
              </w:rPr>
              <w:t xml:space="preserve">/api/insurance/export</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Export insurance data as CSV</w:t>
            </w:r>
          </w:p>
        </w:tc>
      </w:tr>
    </w:tbl>
    <w:p>
      <w:pPr>
        <w:spacing w:after="120"/>
      </w:pPr>
    </w:p>
    <w:p>
      <w:pPr>
        <w:pStyle w:val="Heading1"/>
        <w:spacing w:after="160" w:before="360" w:line="312"/>
      </w:pPr>
      <w:bookmarkStart w:id="100022" w:name="_Toc100022"/>
      <w:r>
        <w:rPr>
          <w:rFonts w:ascii="Times New Roman" w:cs="Times New Roman" w:eastAsia="Times New Roman" w:hAnsi="Times New Roman"/>
          <w:b/>
          <w:bCs/>
          <w:color w:val="0B1220"/>
          <w:sz w:val="32"/>
          <w:szCs w:val="32"/>
        </w:rPr>
        <w:t xml:space="preserve">6. Self-Learning Engine</w:t>
      </w:r>
      <w:bookmarkEnd w:id="100022"/>
    </w:p>
    <w:p>
      <w:pPr>
        <w:spacing w:after="120" w:line="312"/>
        <w:jc w:val="left"/>
      </w:pPr>
      <w:r>
        <w:rPr>
          <w:rFonts w:ascii="Calibri" w:cs="Calibri" w:eastAsia="Calibri" w:hAnsi="Calibri"/>
          <w:color w:val="000000"/>
          <w:sz w:val="22"/>
          <w:szCs w:val="22"/>
        </w:rPr>
        <w:t xml:space="preserve">The Self-Learning Engine is the core differentiator of the Stefco Claims Dashboard. It continuously improves email classification and data extraction accuracy by learning from user corrections and feedback. The engine operates through a combination of pattern storage, hint injection, sender profiling, and progressive automation. All learning data persists in the SQLite database and survives container restarts through Docker volume mounts.</w:t>
      </w:r>
    </w:p>
    <w:p>
      <w:pPr>
        <w:pStyle w:val="Heading2"/>
        <w:spacing w:after="120" w:before="280" w:line="312"/>
      </w:pPr>
      <w:bookmarkStart w:id="100023" w:name="_Toc100023"/>
      <w:r>
        <w:rPr>
          <w:rFonts w:ascii="Times New Roman" w:cs="Times New Roman" w:eastAsia="Times New Roman" w:hAnsi="Times New Roman"/>
          <w:b/>
          <w:bCs/>
          <w:color w:val="0B1220"/>
          <w:sz w:val="26"/>
          <w:szCs w:val="26"/>
        </w:rPr>
        <w:t xml:space="preserve">6.1 Learning Hints System</w:t>
      </w:r>
      <w:bookmarkEnd w:id="100023"/>
    </w:p>
    <w:p>
      <w:pPr>
        <w:spacing w:after="120" w:line="312"/>
        <w:jc w:val="left"/>
      </w:pPr>
      <w:r>
        <w:rPr>
          <w:rFonts w:ascii="Calibri" w:cs="Calibri" w:eastAsia="Calibri" w:hAnsi="Calibri"/>
          <w:color w:val="000000"/>
          <w:sz w:val="22"/>
          <w:szCs w:val="22"/>
        </w:rPr>
        <w:t xml:space="preserve">When a user corrects an AI-extracted field (for example, fixing a client name from 'J. Smith' to 'Smith, John A.'), the system creates or updates a LearningPattern record. Each pattern is scoped by senderDomain (the email domain of the sender) and optionally by insuranceCompanyId. Patterns include a human-readable patternHint that describes the correction in natural language, along with example original and corrected values. The confidence score starts at 55 for a new pattern and grows incrementally with each confirmed correction, capped at 95 to prevent overconfidence.</w:t>
      </w:r>
    </w:p>
    <w:p>
      <w:pPr>
        <w:spacing w:after="120" w:line="312"/>
        <w:jc w:val="left"/>
      </w:pPr>
      <w:r>
        <w:rPr>
          <w:rFonts w:ascii="Calibri" w:cs="Calibri" w:eastAsia="Calibri" w:hAnsi="Calibri"/>
          <w:color w:val="000000"/>
          <w:sz w:val="22"/>
          <w:szCs w:val="22"/>
        </w:rPr>
        <w:t xml:space="preserve">When a new email arrives from a known sender domain, the engine retrieves all relevant LearningPatterns via getLearningHints(). These hints are sorted by confidence (highest first) and deduplicated by field name. The buildHintSection() function formats them into a structured text block that is injected into the AI extraction prompt, giving the AI model specific guidance on how to interpret emails from that sender.</w:t>
      </w:r>
    </w:p>
    <w:p>
      <w:pPr>
        <w:pStyle w:val="Heading2"/>
        <w:spacing w:after="120" w:before="280" w:line="312"/>
      </w:pPr>
      <w:bookmarkStart w:id="100024" w:name="_Toc100024"/>
      <w:r>
        <w:rPr>
          <w:rFonts w:ascii="Times New Roman" w:cs="Times New Roman" w:eastAsia="Times New Roman" w:hAnsi="Times New Roman"/>
          <w:b/>
          <w:bCs/>
          <w:color w:val="0B1220"/>
          <w:sz w:val="26"/>
          <w:szCs w:val="26"/>
        </w:rPr>
        <w:t xml:space="preserve">6.2 Sender Learning Profiles</w:t>
      </w:r>
      <w:bookmarkEnd w:id="100024"/>
    </w:p>
    <w:p>
      <w:pPr>
        <w:spacing w:after="120" w:line="312"/>
        <w:jc w:val="left"/>
      </w:pPr>
      <w:r>
        <w:rPr>
          <w:rFonts w:ascii="Calibri" w:cs="Calibri" w:eastAsia="Calibri" w:hAnsi="Calibri"/>
          <w:color w:val="000000"/>
          <w:sz w:val="22"/>
          <w:szCs w:val="22"/>
        </w:rPr>
        <w:t xml:space="preserve">Each sender domain maintains a SenderLearningProfile that tracks the system's accumulated knowledge and confidence for that sender. The profile includes the current automation level (manual, semi_auto, or auto), pattern count, classification count, corrected count, accuracy rate, and a composite confidence score. The getSenderLearningProfile() function computes this profile by aggregating data from LearningPattern, ClassificationKnowledge, and SenderPattern tables.</w:t>
      </w:r>
    </w:p>
    <w:p>
      <w:pPr>
        <w:spacing w:after="120" w:line="312"/>
        <w:jc w:val="left"/>
      </w:pPr>
      <w:r>
        <w:rPr>
          <w:rFonts w:ascii="Calibri" w:cs="Calibri" w:eastAsia="Calibri" w:hAnsi="Calibri"/>
          <w:color w:val="000000"/>
          <w:sz w:val="22"/>
          <w:szCs w:val="22"/>
        </w:rPr>
        <w:t xml:space="preserve">The composite confidence score is calculated as a weighted combination of pattern count (up to 15 patterns contributes 60 points), classification count (up to 10 contributes 20 points), accuracy rate (contributes up to 20 points), and a bonus for high email volume (5 points if more than 5 emails processed). This score drives the progressive automation decisions and is displayed in the dashboard's knowledge base view.</w:t>
      </w:r>
    </w:p>
    <w:p>
      <w:pPr>
        <w:pStyle w:val="Heading2"/>
        <w:spacing w:after="120" w:before="280" w:line="312"/>
      </w:pPr>
      <w:bookmarkStart w:id="100025" w:name="_Toc100025"/>
      <w:r>
        <w:rPr>
          <w:rFonts w:ascii="Times New Roman" w:cs="Times New Roman" w:eastAsia="Times New Roman" w:hAnsi="Times New Roman"/>
          <w:b/>
          <w:bCs/>
          <w:color w:val="0B1220"/>
          <w:sz w:val="26"/>
          <w:szCs w:val="26"/>
        </w:rPr>
        <w:t xml:space="preserve">6.3 Processing Route Determination</w:t>
      </w:r>
      <w:bookmarkEnd w:id="100025"/>
    </w:p>
    <w:p>
      <w:pPr>
        <w:spacing w:after="120" w:line="312"/>
        <w:jc w:val="left"/>
      </w:pPr>
      <w:r>
        <w:rPr>
          <w:rFonts w:ascii="Calibri" w:cs="Calibri" w:eastAsia="Calibri" w:hAnsi="Calibri"/>
          <w:color w:val="000000"/>
          <w:sz w:val="22"/>
          <w:szCs w:val="22"/>
        </w:rPr>
        <w:t xml:space="preserve">The getProcessingRoute() function determines how each incoming email should be handled based on the sender's learning profile and the AI's current confidence. For fully-auto senders, emails are auto-created when both classification confidence exceeds 80% and extraction confidence exceeds 60%; otherwise they fall back to ai_suggest. For semi-auto senders, all emails get AI suggestions but require user confirmation. For manual senders, all emails go to the human review queue without AI pre-classification.</w:t>
      </w:r>
    </w:p>
    <w:p>
      <w:pPr>
        <w:pStyle w:val="Heading2"/>
        <w:spacing w:after="120" w:before="280" w:line="312"/>
      </w:pPr>
      <w:bookmarkStart w:id="100026" w:name="_Toc100026"/>
      <w:r>
        <w:rPr>
          <w:rFonts w:ascii="Times New Roman" w:cs="Times New Roman" w:eastAsia="Times New Roman" w:hAnsi="Times New Roman"/>
          <w:b/>
          <w:bCs/>
          <w:color w:val="0B1220"/>
          <w:sz w:val="26"/>
          <w:szCs w:val="26"/>
        </w:rPr>
        <w:t xml:space="preserve">6.4 Ignore Learning</w:t>
      </w:r>
      <w:bookmarkEnd w:id="100026"/>
    </w:p>
    <w:p>
      <w:pPr>
        <w:spacing w:after="120" w:line="312"/>
        <w:jc w:val="left"/>
      </w:pPr>
      <w:r>
        <w:rPr>
          <w:rFonts w:ascii="Calibri" w:cs="Calibri" w:eastAsia="Calibri" w:hAnsi="Calibri"/>
          <w:color w:val="000000"/>
          <w:sz w:val="22"/>
          <w:szCs w:val="22"/>
        </w:rPr>
        <w:t xml:space="preserve">When users ignore non-claim emails (spam, marketing, out-of-office replies, etc.), the system learns from these decisions through the SenderIgnoreRule model. Each rule specifies a sender domain, ignore category, and optional free-text reason. The category taxonomy includes spam, marketing, duplicate, wrong_sender, personal, out_of_office, system_notification, and other. Once a rule accumulates enough ignore events, the system can auto-ignore future emails from that sender, reducing the review queue noise significantly.</w:t>
      </w:r>
    </w:p>
    <w:p>
      <w:pPr>
        <w:pStyle w:val="Heading1"/>
        <w:spacing w:after="160" w:before="360" w:line="312"/>
      </w:pPr>
      <w:bookmarkStart w:id="100027" w:name="_Toc100027"/>
      <w:r>
        <w:rPr>
          <w:rFonts w:ascii="Times New Roman" w:cs="Times New Roman" w:eastAsia="Times New Roman" w:hAnsi="Times New Roman"/>
          <w:b/>
          <w:bCs/>
          <w:color w:val="0B1220"/>
          <w:sz w:val="32"/>
          <w:szCs w:val="32"/>
        </w:rPr>
        <w:t xml:space="preserve">7. Email Processing Pipeline</w:t>
      </w:r>
      <w:bookmarkEnd w:id="100027"/>
    </w:p>
    <w:p>
      <w:pPr>
        <w:spacing w:after="120" w:line="312"/>
        <w:jc w:val="left"/>
      </w:pPr>
      <w:r>
        <w:rPr>
          <w:rFonts w:ascii="Calibri" w:cs="Calibri" w:eastAsia="Calibri" w:hAnsi="Calibri"/>
          <w:color w:val="000000"/>
          <w:sz w:val="22"/>
          <w:szCs w:val="22"/>
        </w:rPr>
        <w:t xml:space="preserve">The email processing pipeline handles the complete lifecycle of an incoming claim email, from initial IMAP fetch through final claim creation. The pipeline is designed for reliability, with each stage producing persistent state that survives failures and restarts.</w:t>
      </w:r>
    </w:p>
    <w:p>
      <w:pPr>
        <w:pStyle w:val="Heading2"/>
        <w:spacing w:after="120" w:before="280" w:line="312"/>
      </w:pPr>
      <w:bookmarkStart w:id="100028" w:name="_Toc100028"/>
      <w:r>
        <w:rPr>
          <w:rFonts w:ascii="Times New Roman" w:cs="Times New Roman" w:eastAsia="Times New Roman" w:hAnsi="Times New Roman"/>
          <w:b/>
          <w:bCs/>
          <w:color w:val="0B1220"/>
          <w:sz w:val="26"/>
          <w:szCs w:val="26"/>
        </w:rPr>
        <w:t xml:space="preserve">7.1 Email Polling</w:t>
      </w:r>
      <w:bookmarkEnd w:id="100028"/>
    </w:p>
    <w:p>
      <w:pPr>
        <w:spacing w:after="120" w:line="312"/>
        <w:jc w:val="left"/>
      </w:pPr>
      <w:r>
        <w:rPr>
          <w:rFonts w:ascii="Calibri" w:cs="Calibri" w:eastAsia="Calibri" w:hAnsi="Calibri"/>
          <w:color w:val="000000"/>
          <w:sz w:val="22"/>
          <w:szCs w:val="22"/>
        </w:rPr>
        <w:t xml:space="preserve">The email polling system uses imapflow to connect to the configured IMAP server and fetch new emails from the designated inbox folder. Polling can be triggered manually via the /api/email-poll endpoint or run automatically on a configurable schedule via the /api/email-poll/scheduler endpoint. Each fetched email is deduplicated using a SHA-256 hash of its subject and body, stored in the EmailQueue.messageId field to prevent reprocessing. The poller respects IMAP idle timeouts and handles connection failures gracefully with exponential backoff.</w:t>
      </w:r>
    </w:p>
    <w:p>
      <w:pPr>
        <w:pStyle w:val="Heading2"/>
        <w:spacing w:after="120" w:before="280" w:line="312"/>
      </w:pPr>
      <w:bookmarkStart w:id="100029" w:name="_Toc100029"/>
      <w:r>
        <w:rPr>
          <w:rFonts w:ascii="Times New Roman" w:cs="Times New Roman" w:eastAsia="Times New Roman" w:hAnsi="Times New Roman"/>
          <w:b/>
          <w:bCs/>
          <w:color w:val="0B1220"/>
          <w:sz w:val="26"/>
          <w:szCs w:val="26"/>
        </w:rPr>
        <w:t xml:space="preserve">7.2 Classification and Extraction</w:t>
      </w:r>
      <w:bookmarkEnd w:id="100029"/>
    </w:p>
    <w:p>
      <w:pPr>
        <w:spacing w:after="120" w:line="312"/>
        <w:jc w:val="left"/>
      </w:pPr>
      <w:r>
        <w:rPr>
          <w:rFonts w:ascii="Calibri" w:cs="Calibri" w:eastAsia="Calibri" w:hAnsi="Calibri"/>
          <w:color w:val="000000"/>
          <w:sz w:val="22"/>
          <w:szCs w:val="22"/>
        </w:rPr>
        <w:t xml:space="preserve">Once an email enters the queue, the AI classification agent analyzes it to determine its category (NEW_CLAIM, IGNORE, MISSING_INFO, or OTHER). The classifier receives the cleaned email body along with learning hints (if available for the sender) and few-shot examples from similar historical emails. The classification result includes a confidence score and reasoning. For emails classified as NEW_CLAIM, a second AI pass extracts structured claim data including client name, claim number, claim type, vehicle details, excess amount, and contact information.</w:t>
      </w:r>
    </w:p>
    <w:p>
      <w:pPr>
        <w:pStyle w:val="Heading2"/>
        <w:spacing w:after="120" w:before="280" w:line="312"/>
      </w:pPr>
      <w:bookmarkStart w:id="100030" w:name="_Toc100030"/>
      <w:r>
        <w:rPr>
          <w:rFonts w:ascii="Times New Roman" w:cs="Times New Roman" w:eastAsia="Times New Roman" w:hAnsi="Times New Roman"/>
          <w:b/>
          <w:bCs/>
          <w:color w:val="0B1220"/>
          <w:sz w:val="26"/>
          <w:szCs w:val="26"/>
        </w:rPr>
        <w:t xml:space="preserve">7.3 Review Queue Workflow</w:t>
      </w:r>
      <w:bookmarkEnd w:id="100030"/>
    </w:p>
    <w:p>
      <w:pPr>
        <w:spacing w:after="120" w:line="312"/>
        <w:jc w:val="left"/>
      </w:pPr>
      <w:r>
        <w:rPr>
          <w:rFonts w:ascii="Calibri" w:cs="Calibri" w:eastAsia="Calibri" w:hAnsi="Calibri"/>
          <w:color w:val="000000"/>
          <w:sz w:val="22"/>
          <w:szCs w:val="22"/>
        </w:rPr>
        <w:t xml:space="preserve">Emails that require human review are placed in the EmailQueue with status pending_review. The dashboard's Email Inbox view displays these emails with their AI analysis results, allowing reviewers to quickly assess the classification and extracted data. Reviewers can accept the AI suggestion (creating a claim immediately), correct the classification or extracted fields (which feeds back into the learning engine), or ignore the email (with an optional reason and category for ignore learning). The full email body and HTML content are accessible in the review panel for thorough examination.</w:t>
      </w:r>
    </w:p>
    <w:p>
      <w:pPr>
        <w:pStyle w:val="Heading1"/>
        <w:spacing w:after="160" w:before="360" w:line="312"/>
      </w:pPr>
      <w:bookmarkStart w:id="100031" w:name="_Toc100031"/>
      <w:r>
        <w:rPr>
          <w:rFonts w:ascii="Times New Roman" w:cs="Times New Roman" w:eastAsia="Times New Roman" w:hAnsi="Times New Roman"/>
          <w:b/>
          <w:bCs/>
          <w:color w:val="0B1220"/>
          <w:sz w:val="32"/>
          <w:szCs w:val="32"/>
        </w:rPr>
        <w:t xml:space="preserve">8. Deployment Guide</w:t>
      </w:r>
      <w:bookmarkEnd w:id="100031"/>
    </w:p>
    <w:p>
      <w:pPr>
        <w:spacing w:after="120" w:line="312"/>
        <w:jc w:val="left"/>
      </w:pPr>
      <w:r>
        <w:rPr>
          <w:rFonts w:ascii="Calibri" w:cs="Calibri" w:eastAsia="Calibri" w:hAnsi="Calibri"/>
          <w:color w:val="000000"/>
          <w:sz w:val="22"/>
          <w:szCs w:val="22"/>
        </w:rPr>
        <w:t xml:space="preserve">The recommended deployment method is Docker using the provided Dockerfile and docker-compose.yml configuration. The Dockerfile implements a multi-stage build that produces a minimal production image with no build tools or development dependencies.</w:t>
      </w:r>
    </w:p>
    <w:p>
      <w:pPr>
        <w:pStyle w:val="Heading2"/>
        <w:spacing w:after="120" w:before="280" w:line="312"/>
      </w:pPr>
      <w:bookmarkStart w:id="100032" w:name="_Toc100032"/>
      <w:r>
        <w:rPr>
          <w:rFonts w:ascii="Times New Roman" w:cs="Times New Roman" w:eastAsia="Times New Roman" w:hAnsi="Times New Roman"/>
          <w:b/>
          <w:bCs/>
          <w:color w:val="0B1220"/>
          <w:sz w:val="26"/>
          <w:szCs w:val="26"/>
        </w:rPr>
        <w:t xml:space="preserve">8.1 Docker Build Architecture</w:t>
      </w:r>
      <w:bookmarkEnd w:id="100032"/>
    </w:p>
    <w:p>
      <w:pPr>
        <w:spacing w:after="120" w:line="312"/>
        <w:jc w:val="left"/>
      </w:pPr>
      <w:r>
        <w:rPr>
          <w:rFonts w:ascii="Calibri" w:cs="Calibri" w:eastAsia="Calibri" w:hAnsi="Calibri"/>
          <w:color w:val="000000"/>
          <w:sz w:val="22"/>
          <w:szCs w:val="22"/>
        </w:rPr>
        <w:t xml:space="preserve">The Dockerfile uses two stages. The builder stage (node:20-alpine) installs bun, copies package.json and bun.lock, installs dependencies with bun install --no-verify for reliability, copies source code, generates the Prisma client, creates a database template with the full schema, and builds the Next.js standalone output. The runtime stage (node:20-alpine) copies only the built artifacts: the standalone server output, static assets, Prisma generated client and engines, and the database template. This results in a minimal image that excludes all build tools, source code, and development dependencies.</w:t>
      </w:r>
    </w:p>
    <w:p>
      <w:pPr>
        <w:pStyle w:val="Heading2"/>
        <w:spacing w:after="120" w:before="280" w:line="312"/>
      </w:pPr>
      <w:bookmarkStart w:id="100033" w:name="_Toc100033"/>
      <w:r>
        <w:rPr>
          <w:rFonts w:ascii="Times New Roman" w:cs="Times New Roman" w:eastAsia="Times New Roman" w:hAnsi="Times New Roman"/>
          <w:b/>
          <w:bCs/>
          <w:color w:val="0B1220"/>
          <w:sz w:val="26"/>
          <w:szCs w:val="26"/>
        </w:rPr>
        <w:t xml:space="preserve">8.2 Database Template System</w:t>
      </w:r>
      <w:bookmarkEnd w:id="100033"/>
    </w:p>
    <w:p>
      <w:pPr>
        <w:spacing w:after="120" w:line="312"/>
        <w:jc w:val="left"/>
      </w:pPr>
      <w:r>
        <w:rPr>
          <w:rFonts w:ascii="Calibri" w:cs="Calibri" w:eastAsia="Calibri" w:hAnsi="Calibri"/>
          <w:color w:val="000000"/>
          <w:sz w:val="22"/>
          <w:szCs w:val="22"/>
        </w:rPr>
        <w:t xml:space="preserve">To avoid requiring the Prisma CLI in the production container, the database schema is created during the Docker build process (in the builder stage where all tools are available). The resulting database file is saved as a template (template.db). At container startup, the entrypoint.sh script checks if a database already exists at the configured path; if not, it copies the template. This approach provides instant database initialization without any runtime Prisma dependency. Existing databases are preserved across container restarts through Docker volume mounts.</w:t>
      </w:r>
    </w:p>
    <w:p>
      <w:pPr>
        <w:pStyle w:val="Heading2"/>
        <w:spacing w:after="120" w:before="280" w:line="312"/>
      </w:pPr>
      <w:bookmarkStart w:id="100034" w:name="_Toc100034"/>
      <w:r>
        <w:rPr>
          <w:rFonts w:ascii="Times New Roman" w:cs="Times New Roman" w:eastAsia="Times New Roman" w:hAnsi="Times New Roman"/>
          <w:b/>
          <w:bCs/>
          <w:color w:val="0B1220"/>
          <w:sz w:val="26"/>
          <w:szCs w:val="26"/>
        </w:rPr>
        <w:t xml:space="preserve">8.3 Volume Persistence</w:t>
      </w:r>
      <w:bookmarkEnd w:id="100034"/>
    </w:p>
    <w:p>
      <w:pPr>
        <w:spacing w:after="120" w:line="312"/>
        <w:jc w:val="left"/>
      </w:pPr>
      <w:r>
        <w:rPr>
          <w:rFonts w:ascii="Calibri" w:cs="Calibri" w:eastAsia="Calibri" w:hAnsi="Calibri"/>
          <w:color w:val="000000"/>
          <w:sz w:val="22"/>
          <w:szCs w:val="22"/>
        </w:rPr>
        <w:t xml:space="preserve">Three Docker volumes are configured to persist data across container lifecycle events: stefco-db-data mounts to /app/db for the SQLite database, stefco-data mounts to /app/data for uploaded attachments and generated files, and stefco-logs mounts to /app/logs for application logs. These volumes ensure that no data is lost when containers are recreated, updated, or restarted. To completely reset the system, use docker compose down -v which removes both containers and volumes.</w:t>
      </w:r>
    </w:p>
    <w:p>
      <w:pPr>
        <w:pStyle w:val="Heading2"/>
        <w:spacing w:after="120" w:before="280" w:line="312"/>
      </w:pPr>
      <w:bookmarkStart w:id="100035" w:name="_Toc100035"/>
      <w:r>
        <w:rPr>
          <w:rFonts w:ascii="Times New Roman" w:cs="Times New Roman" w:eastAsia="Times New Roman" w:hAnsi="Times New Roman"/>
          <w:b/>
          <w:bCs/>
          <w:color w:val="0B1220"/>
          <w:sz w:val="26"/>
          <w:szCs w:val="26"/>
        </w:rPr>
        <w:t xml:space="preserve">8.4 Health Monitoring</w:t>
      </w:r>
      <w:bookmarkEnd w:id="100035"/>
    </w:p>
    <w:p>
      <w:pPr>
        <w:spacing w:after="120" w:line="312"/>
        <w:jc w:val="left"/>
      </w:pPr>
      <w:r>
        <w:rPr>
          <w:rFonts w:ascii="Calibri" w:cs="Calibri" w:eastAsia="Calibri" w:hAnsi="Calibri"/>
          <w:color w:val="000000"/>
          <w:sz w:val="22"/>
          <w:szCs w:val="22"/>
        </w:rPr>
        <w:t xml:space="preserve">The container includes a health check script (healthcheck.js) that makes HTTP requests to the /api/health endpoint every 10 seconds. Docker Compose uses this health check to determine container status. The health check has a 10-second start period, 5-second timeout, and allows 3 consecutive failures before marking the container as unhealthy. Application logs are written to stdout (captured by Docker) and to the /app/logs volume for persistent access.</w:t>
      </w:r>
    </w:p>
    <w:p>
      <w:pPr>
        <w:pStyle w:val="Heading1"/>
        <w:spacing w:after="160" w:before="360" w:line="312"/>
      </w:pPr>
      <w:bookmarkStart w:id="100036" w:name="_Toc100036"/>
      <w:r>
        <w:rPr>
          <w:rFonts w:ascii="Times New Roman" w:cs="Times New Roman" w:eastAsia="Times New Roman" w:hAnsi="Times New Roman"/>
          <w:b/>
          <w:bCs/>
          <w:color w:val="0B1220"/>
          <w:sz w:val="32"/>
          <w:szCs w:val="32"/>
        </w:rPr>
        <w:t xml:space="preserve">9. Development Workflow</w:t>
      </w:r>
      <w:bookmarkEnd w:id="100036"/>
    </w:p>
    <w:p>
      <w:pPr>
        <w:spacing w:after="120" w:line="312"/>
        <w:jc w:val="left"/>
      </w:pPr>
      <w:r>
        <w:rPr>
          <w:rFonts w:ascii="Calibri" w:cs="Calibri" w:eastAsia="Calibri" w:hAnsi="Calibri"/>
          <w:color w:val="000000"/>
          <w:sz w:val="22"/>
          <w:szCs w:val="22"/>
        </w:rPr>
        <w:t xml:space="preserve">The project follows a standard Next.js development workflow with some specific conventions for database management and AI integration.</w:t>
      </w:r>
    </w:p>
    <w:p>
      <w:pPr>
        <w:pStyle w:val="Heading2"/>
        <w:spacing w:after="120" w:before="280" w:line="312"/>
      </w:pPr>
      <w:bookmarkStart w:id="100037" w:name="_Toc100037"/>
      <w:r>
        <w:rPr>
          <w:rFonts w:ascii="Times New Roman" w:cs="Times New Roman" w:eastAsia="Times New Roman" w:hAnsi="Times New Roman"/>
          <w:b/>
          <w:bCs/>
          <w:color w:val="0B1220"/>
          <w:sz w:val="26"/>
          <w:szCs w:val="26"/>
        </w:rPr>
        <w:t xml:space="preserve">9.1 Project Structure</w:t>
      </w:r>
      <w:bookmarkEnd w:id="100037"/>
    </w:p>
    <w:p>
      <w:pPr>
        <w:spacing w:after="120" w:line="312"/>
        <w:jc w:val="left"/>
      </w:pPr>
      <w:r>
        <w:rPr>
          <w:rFonts w:ascii="Calibri" w:cs="Calibri" w:eastAsia="Calibri" w:hAnsi="Calibri"/>
          <w:color w:val="000000"/>
          <w:sz w:val="22"/>
          <w:szCs w:val="22"/>
        </w:rPr>
        <w:t xml:space="preserve">The project uses Next.js 16 App Router conventions. API routes are defined in src/app/api/ as route.ts files. UI components are in src/components/ organized by feature (claims, dashboard, layout, review, ui). Shared utilities are in src/lib/. The Prisma schema is in prisma/schema.prisma and migrations are managed via prisma db push (schema-first approach without migration files). Configuration files include next.config.ts (standalone output, server packages), tailwind.config.ts, tsconfig.json, and components.json (shadcn/ui configuration).</w:t>
      </w:r>
    </w:p>
    <w:p>
      <w:pPr>
        <w:pStyle w:val="Heading2"/>
        <w:spacing w:after="120" w:before="280" w:line="312"/>
      </w:pPr>
      <w:bookmarkStart w:id="100038" w:name="_Toc100038"/>
      <w:r>
        <w:rPr>
          <w:rFonts w:ascii="Times New Roman" w:cs="Times New Roman" w:eastAsia="Times New Roman" w:hAnsi="Times New Roman"/>
          <w:b/>
          <w:bCs/>
          <w:color w:val="0B1220"/>
          <w:sz w:val="26"/>
          <w:szCs w:val="26"/>
        </w:rPr>
        <w:t xml:space="preserve">9.2 Key Scripts</w:t>
      </w:r>
      <w:bookmarkEnd w:id="100038"/>
    </w:p>
    <w:tbl>
      <w:tblPr>
        <w:tblW w:type="pct" w:w="100%"/>
        <w:tblBorders>
          <w:top w:val="single" w:color="1B6B7A" w:sz="2"/>
          <w:left/>
          <w:bottom w:val="single" w:color="1B6B7A" w:sz="2"/>
          <w:right/>
          <w:insideH w:val="single" w:color="C8DDE2" w:sz="1"/>
          <w:insideV/>
        </w:tblBorders>
      </w:tblPr>
      <w:tblGrid>
        <w:gridCol w:w="100"/>
        <w:gridCol w:w="100"/>
        <w:gridCol w:w="100"/>
      </w:tblGrid>
      <w:tr>
        <w:trPr>
          <w:cantSplit/>
          <w:tblHeader/>
        </w:trPr>
        <w:tc>
          <w:tcPr>
            <w:tcW w:type="pct" w:w="1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Script</w:t>
            </w:r>
          </w:p>
        </w:tc>
        <w:tc>
          <w:tcPr>
            <w:tcW w:type="pct" w:w="35%"/>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Command</w:t>
            </w:r>
          </w:p>
        </w:tc>
        <w:tc>
          <w:tcPr>
            <w:tcW w:type="pct" w:w="50%"/>
            <w:shd w:fill="1B6B7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tcW w:type="pct" w:w="15%"/>
            <w:shd w:fill="FFFFFF" w:val="clear"/>
            <w:tcMar>
              <w:top w:type="dxa" w:w="50"/>
              <w:left w:type="dxa" w:w="120"/>
              <w:bottom w:type="dxa" w:w="50"/>
              <w:right w:type="dxa" w:w="120"/>
            </w:tcMar>
          </w:tcPr>
          <w:p>
            <w:r>
              <w:rPr>
                <w:rFonts w:ascii="Calibri" w:cs="Calibri" w:eastAsia="Calibri" w:hAnsi="Calibri"/>
                <w:color w:val="000000"/>
                <w:sz w:val="20"/>
                <w:szCs w:val="20"/>
              </w:rPr>
              <w:t xml:space="preserve">dev</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bun run dev</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Start development server with hot-reload on port 3000</w:t>
            </w:r>
          </w:p>
        </w:tc>
      </w:tr>
      <w:tr>
        <w:trPr>
          <w:cantSplit/>
        </w:trPr>
        <w:tc>
          <w:tcPr>
            <w:tcW w:type="pct" w:w="15%"/>
            <w:shd w:fill="EDF3F5" w:val="clear"/>
            <w:tcMar>
              <w:top w:type="dxa" w:w="50"/>
              <w:left w:type="dxa" w:w="120"/>
              <w:bottom w:type="dxa" w:w="50"/>
              <w:right w:type="dxa" w:w="120"/>
            </w:tcMar>
          </w:tcPr>
          <w:p>
            <w:r>
              <w:rPr>
                <w:rFonts w:ascii="Calibri" w:cs="Calibri" w:eastAsia="Calibri" w:hAnsi="Calibri"/>
                <w:color w:val="000000"/>
                <w:sz w:val="20"/>
                <w:szCs w:val="20"/>
              </w:rPr>
              <w:t xml:space="preserve">build</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bun run build</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Production build with standalone output and static asset copy</w:t>
            </w:r>
          </w:p>
        </w:tc>
      </w:tr>
      <w:tr>
        <w:trPr>
          <w:cantSplit/>
        </w:trPr>
        <w:tc>
          <w:tcPr>
            <w:tcW w:type="pct" w:w="15%"/>
            <w:shd w:fill="FFFFFF" w:val="clear"/>
            <w:tcMar>
              <w:top w:type="dxa" w:w="50"/>
              <w:left w:type="dxa" w:w="120"/>
              <w:bottom w:type="dxa" w:w="50"/>
              <w:right w:type="dxa" w:w="120"/>
            </w:tcMar>
          </w:tcPr>
          <w:p>
            <w:r>
              <w:rPr>
                <w:rFonts w:ascii="Calibri" w:cs="Calibri" w:eastAsia="Calibri" w:hAnsi="Calibri"/>
                <w:color w:val="000000"/>
                <w:sz w:val="20"/>
                <w:szCs w:val="20"/>
              </w:rPr>
              <w:t xml:space="preserve">start</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bun run start</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Start production server from standalone build</w:t>
            </w:r>
          </w:p>
        </w:tc>
      </w:tr>
      <w:tr>
        <w:trPr>
          <w:cantSplit/>
        </w:trPr>
        <w:tc>
          <w:tcPr>
            <w:tcW w:type="pct" w:w="15%"/>
            <w:shd w:fill="EDF3F5" w:val="clear"/>
            <w:tcMar>
              <w:top w:type="dxa" w:w="50"/>
              <w:left w:type="dxa" w:w="120"/>
              <w:bottom w:type="dxa" w:w="50"/>
              <w:right w:type="dxa" w:w="120"/>
            </w:tcMar>
          </w:tcPr>
          <w:p>
            <w:r>
              <w:rPr>
                <w:rFonts w:ascii="Calibri" w:cs="Calibri" w:eastAsia="Calibri" w:hAnsi="Calibri"/>
                <w:color w:val="000000"/>
                <w:sz w:val="20"/>
                <w:szCs w:val="20"/>
              </w:rPr>
              <w:t xml:space="preserve">db:generate</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npx prisma generate</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Regenerate Prisma client after schema changes</w:t>
            </w:r>
          </w:p>
        </w:tc>
      </w:tr>
      <w:tr>
        <w:trPr>
          <w:cantSplit/>
        </w:trPr>
        <w:tc>
          <w:tcPr>
            <w:tcW w:type="pct" w:w="15%"/>
            <w:shd w:fill="FFFFFF" w:val="clear"/>
            <w:tcMar>
              <w:top w:type="dxa" w:w="50"/>
              <w:left w:type="dxa" w:w="120"/>
              <w:bottom w:type="dxa" w:w="50"/>
              <w:right w:type="dxa" w:w="120"/>
            </w:tcMar>
          </w:tcPr>
          <w:p>
            <w:r>
              <w:rPr>
                <w:rFonts w:ascii="Calibri" w:cs="Calibri" w:eastAsia="Calibri" w:hAnsi="Calibri"/>
                <w:color w:val="000000"/>
                <w:sz w:val="20"/>
                <w:szCs w:val="20"/>
              </w:rPr>
              <w:t xml:space="preserve">db:push</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npx prisma db push</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Push schema changes to database (development only)</w:t>
            </w:r>
          </w:p>
        </w:tc>
      </w:tr>
      <w:tr>
        <w:trPr>
          <w:cantSplit/>
        </w:trPr>
        <w:tc>
          <w:tcPr>
            <w:tcW w:type="pct" w:w="15%"/>
            <w:shd w:fill="EDF3F5" w:val="clear"/>
            <w:tcMar>
              <w:top w:type="dxa" w:w="50"/>
              <w:left w:type="dxa" w:w="120"/>
              <w:bottom w:type="dxa" w:w="50"/>
              <w:right w:type="dxa" w:w="120"/>
            </w:tcMar>
          </w:tcPr>
          <w:p>
            <w:r>
              <w:rPr>
                <w:rFonts w:ascii="Calibri" w:cs="Calibri" w:eastAsia="Calibri" w:hAnsi="Calibri"/>
                <w:color w:val="000000"/>
                <w:sz w:val="20"/>
                <w:szCs w:val="20"/>
              </w:rPr>
              <w:t xml:space="preserve">db:migrate</w:t>
            </w:r>
          </w:p>
        </w:tc>
        <w:tc>
          <w:tcPr>
            <w:tcW w:type="pct" w:w="35%"/>
            <w:shd w:fill="EDF3F5" w:val="clear"/>
            <w:tcMar>
              <w:top w:type="dxa" w:w="50"/>
              <w:left w:type="dxa" w:w="120"/>
              <w:bottom w:type="dxa" w:w="50"/>
              <w:right w:type="dxa" w:w="120"/>
            </w:tcMar>
          </w:tcPr>
          <w:p>
            <w:r>
              <w:rPr>
                <w:rFonts w:ascii="Calibri" w:cs="Calibri" w:eastAsia="Calibri" w:hAnsi="Calibri"/>
                <w:color w:val="000000"/>
                <w:sz w:val="20"/>
                <w:szCs w:val="20"/>
              </w:rPr>
              <w:t xml:space="preserve">npx prisma migrate dev</w:t>
            </w:r>
          </w:p>
        </w:tc>
        <w:tc>
          <w:tcPr>
            <w:tcW w:type="pct" w:w="50%"/>
            <w:shd w:fill="EDF3F5" w:val="clear"/>
            <w:tcMar>
              <w:top w:type="dxa" w:w="50"/>
              <w:left w:type="dxa" w:w="120"/>
              <w:bottom w:type="dxa" w:w="50"/>
              <w:right w:type="dxa" w:w="120"/>
            </w:tcMar>
          </w:tcPr>
          <w:p>
            <w:r>
              <w:rPr>
                <w:rFonts w:ascii="Calibri" w:cs="Calibri" w:eastAsia="Calibri" w:hAnsi="Calibri"/>
                <w:color w:val="000000"/>
                <w:sz w:val="20"/>
                <w:szCs w:val="20"/>
              </w:rPr>
              <w:t xml:space="preserve">Create and apply database migrations</w:t>
            </w:r>
          </w:p>
        </w:tc>
      </w:tr>
      <w:tr>
        <w:trPr>
          <w:cantSplit/>
        </w:trPr>
        <w:tc>
          <w:tcPr>
            <w:tcW w:type="pct" w:w="15%"/>
            <w:shd w:fill="FFFFFF" w:val="clear"/>
            <w:tcMar>
              <w:top w:type="dxa" w:w="50"/>
              <w:left w:type="dxa" w:w="120"/>
              <w:bottom w:type="dxa" w:w="50"/>
              <w:right w:type="dxa" w:w="120"/>
            </w:tcMar>
          </w:tcPr>
          <w:p>
            <w:r>
              <w:rPr>
                <w:rFonts w:ascii="Calibri" w:cs="Calibri" w:eastAsia="Calibri" w:hAnsi="Calibri"/>
                <w:color w:val="000000"/>
                <w:sz w:val="20"/>
                <w:szCs w:val="20"/>
              </w:rPr>
              <w:t xml:space="preserve">lint</w:t>
            </w:r>
          </w:p>
        </w:tc>
        <w:tc>
          <w:tcPr>
            <w:tcW w:type="pct" w:w="35%"/>
            <w:shd w:fill="FFFFFF" w:val="clear"/>
            <w:tcMar>
              <w:top w:type="dxa" w:w="50"/>
              <w:left w:type="dxa" w:w="120"/>
              <w:bottom w:type="dxa" w:w="50"/>
              <w:right w:type="dxa" w:w="120"/>
            </w:tcMar>
          </w:tcPr>
          <w:p>
            <w:r>
              <w:rPr>
                <w:rFonts w:ascii="Calibri" w:cs="Calibri" w:eastAsia="Calibri" w:hAnsi="Calibri"/>
                <w:color w:val="000000"/>
                <w:sz w:val="20"/>
                <w:szCs w:val="20"/>
              </w:rPr>
              <w:t xml:space="preserve">bun run lint</w:t>
            </w:r>
          </w:p>
        </w:tc>
        <w:tc>
          <w:tcPr>
            <w:tcW w:type="pct" w:w="50%"/>
            <w:shd w:fill="FFFFFF" w:val="clear"/>
            <w:tcMar>
              <w:top w:type="dxa" w:w="50"/>
              <w:left w:type="dxa" w:w="120"/>
              <w:bottom w:type="dxa" w:w="50"/>
              <w:right w:type="dxa" w:w="120"/>
            </w:tcMar>
          </w:tcPr>
          <w:p>
            <w:r>
              <w:rPr>
                <w:rFonts w:ascii="Calibri" w:cs="Calibri" w:eastAsia="Calibri" w:hAnsi="Calibri"/>
                <w:color w:val="000000"/>
                <w:sz w:val="20"/>
                <w:szCs w:val="20"/>
              </w:rPr>
              <w:t xml:space="preserve">Run ESLint on all source files</w:t>
            </w:r>
          </w:p>
        </w:tc>
      </w:tr>
    </w:tbl>
    <w:p>
      <w:pPr>
        <w:spacing w:after="120"/>
      </w:pPr>
    </w:p>
    <w:p>
      <w:pPr>
        <w:pStyle w:val="Heading2"/>
        <w:spacing w:after="120" w:before="280" w:line="312"/>
      </w:pPr>
      <w:bookmarkStart w:id="100039" w:name="_Toc100039"/>
      <w:r>
        <w:rPr>
          <w:rFonts w:ascii="Times New Roman" w:cs="Times New Roman" w:eastAsia="Times New Roman" w:hAnsi="Times New Roman"/>
          <w:b/>
          <w:bCs/>
          <w:color w:val="0B1220"/>
          <w:sz w:val="26"/>
          <w:szCs w:val="26"/>
        </w:rPr>
        <w:t xml:space="preserve">9.3 Adding New Features</w:t>
      </w:r>
      <w:bookmarkEnd w:id="100039"/>
    </w:p>
    <w:p>
      <w:pPr>
        <w:spacing w:after="120" w:line="312"/>
        <w:jc w:val="left"/>
      </w:pPr>
      <w:r>
        <w:rPr>
          <w:rFonts w:ascii="Calibri" w:cs="Calibri" w:eastAsia="Calibri" w:hAnsi="Calibri"/>
          <w:color w:val="000000"/>
          <w:sz w:val="22"/>
          <w:szCs w:val="22"/>
        </w:rPr>
        <w:t xml:space="preserve">To add a new API endpoint, create a route.ts file in the appropriate src/app/api/ subdirectory. Next.js automatically maps the file path to the URL path. Each route file exports named functions (GET, POST, PUT, DELETE) that handle the corresponding HTTP methods. For new database models, update prisma/schema.prisma, run prisma generate, then prisma db push. The Prisma client (imported from @/lib/db) will automatically include the new model. UI components follow the shadcn/ui pattern and can be added using the CLI tool or manually in the src/components/ directory.</w:t>
      </w:r>
    </w:p>
    <w:p>
      <w:pPr>
        <w:pStyle w:val="Heading1"/>
        <w:spacing w:after="160" w:before="360" w:line="312"/>
      </w:pPr>
      <w:bookmarkStart w:id="100040" w:name="_Toc100040"/>
      <w:r>
        <w:rPr>
          <w:rFonts w:ascii="Times New Roman" w:cs="Times New Roman" w:eastAsia="Times New Roman" w:hAnsi="Times New Roman"/>
          <w:b/>
          <w:bCs/>
          <w:color w:val="0B1220"/>
          <w:sz w:val="32"/>
          <w:szCs w:val="32"/>
        </w:rPr>
        <w:t xml:space="preserve">10. Troubleshooting</w:t>
      </w:r>
      <w:bookmarkEnd w:id="100040"/>
    </w:p>
    <w:p>
      <w:pPr>
        <w:spacing w:after="120" w:line="312"/>
        <w:jc w:val="left"/>
      </w:pPr>
      <w:r>
        <w:rPr>
          <w:rFonts w:ascii="Calibri" w:cs="Calibri" w:eastAsia="Calibri" w:hAnsi="Calibri"/>
          <w:color w:val="000000"/>
          <w:sz w:val="22"/>
          <w:szCs w:val="22"/>
        </w:rPr>
        <w:t xml:space="preserve">This section covers common issues encountered during installation and operation, along with their solutions.</w:t>
      </w:r>
    </w:p>
    <w:p>
      <w:pPr>
        <w:pStyle w:val="Heading2"/>
        <w:spacing w:after="120" w:before="280" w:line="312"/>
      </w:pPr>
      <w:bookmarkStart w:id="100041" w:name="_Toc100041"/>
      <w:r>
        <w:rPr>
          <w:rFonts w:ascii="Times New Roman" w:cs="Times New Roman" w:eastAsia="Times New Roman" w:hAnsi="Times New Roman"/>
          <w:b/>
          <w:bCs/>
          <w:color w:val="0B1220"/>
          <w:sz w:val="26"/>
          <w:szCs w:val="26"/>
        </w:rPr>
        <w:t xml:space="preserve">10.1 Docker Build Failures</w:t>
      </w:r>
      <w:bookmarkEnd w:id="100041"/>
    </w:p>
    <w:p>
      <w:pPr>
        <w:spacing w:after="80" w:line="312"/>
      </w:pPr>
      <w:r>
        <w:rPr>
          <w:rFonts w:ascii="Calibri" w:cs="Calibri" w:eastAsia="Calibri" w:hAnsi="Calibri"/>
          <w:b/>
          <w:bCs/>
          <w:color w:val="000000"/>
          <w:sz w:val="22"/>
          <w:szCs w:val="22"/>
        </w:rPr>
        <w:t xml:space="preserve">Issue: bun install fails with IntegrityCheckFailed error</w:t>
      </w:r>
    </w:p>
    <w:p>
      <w:pPr>
        <w:spacing w:after="120" w:line="312"/>
        <w:jc w:val="left"/>
      </w:pPr>
      <w:r>
        <w:rPr>
          <w:rFonts w:ascii="Calibri" w:cs="Calibri" w:eastAsia="Calibri" w:hAnsi="Calibri"/>
          <w:color w:val="000000"/>
          <w:sz w:val="22"/>
          <w:szCs w:val="22"/>
        </w:rPr>
        <w:t xml:space="preserve">This occurs when the bun.lock file contains stale integrity hashes, often after package version updates or registry changes. The fix is already applied in the Dockerfile which uses --no-verify to skip integrity checks. If you encounter this outside of Docker, delete bun.lock and run bun install to regenerate it from scratch.</w:t>
      </w:r>
    </w:p>
    <w:p>
      <w:pPr>
        <w:spacing w:after="80" w:line="312"/>
      </w:pPr>
      <w:r>
        <w:rPr>
          <w:rFonts w:ascii="Calibri" w:cs="Calibri" w:eastAsia="Calibri" w:hAnsi="Calibri"/>
          <w:b/>
          <w:bCs/>
          <w:color w:val="000000"/>
          <w:sz w:val="22"/>
          <w:szCs w:val="22"/>
        </w:rPr>
        <w:t xml:space="preserve">Issue: Docker build fails at prisma generate or prisma db push</w:t>
      </w:r>
    </w:p>
    <w:p>
      <w:pPr>
        <w:spacing w:after="120" w:line="312"/>
        <w:jc w:val="left"/>
      </w:pPr>
      <w:r>
        <w:rPr>
          <w:rFonts w:ascii="Calibri" w:cs="Calibri" w:eastAsia="Calibri" w:hAnsi="Calibri"/>
          <w:color w:val="000000"/>
          <w:sz w:val="22"/>
          <w:szCs w:val="22"/>
        </w:rPr>
        <w:t xml:space="preserve">Ensure the .env file contains a valid DATABASE_URL. During Docker build, the DATABASE_URL is set to file:/app/db/template.db internally. If your schema has errors, the build will fail at the prisma db push step. Run npx prisma validate locally to check your schema.</w:t>
      </w:r>
    </w:p>
    <w:p>
      <w:pPr>
        <w:pStyle w:val="Heading2"/>
        <w:spacing w:after="120" w:before="280" w:line="312"/>
      </w:pPr>
      <w:bookmarkStart w:id="100042" w:name="_Toc100042"/>
      <w:r>
        <w:rPr>
          <w:rFonts w:ascii="Times New Roman" w:cs="Times New Roman" w:eastAsia="Times New Roman" w:hAnsi="Times New Roman"/>
          <w:b/>
          <w:bCs/>
          <w:color w:val="0B1220"/>
          <w:sz w:val="26"/>
          <w:szCs w:val="26"/>
        </w:rPr>
        <w:t xml:space="preserve">10.2 Runtime Issues</w:t>
      </w:r>
      <w:bookmarkEnd w:id="100042"/>
    </w:p>
    <w:p>
      <w:pPr>
        <w:spacing w:after="80" w:line="312"/>
      </w:pPr>
      <w:r>
        <w:rPr>
          <w:rFonts w:ascii="Calibri" w:cs="Calibri" w:eastAsia="Calibri" w:hAnsi="Calibri"/>
          <w:b/>
          <w:bCs/>
          <w:color w:val="000000"/>
          <w:sz w:val="22"/>
          <w:szCs w:val="22"/>
        </w:rPr>
        <w:t xml:space="preserve">Issue: Container starts but health check fails</w:t>
      </w:r>
    </w:p>
    <w:p>
      <w:pPr>
        <w:spacing w:after="120" w:line="312"/>
        <w:jc w:val="left"/>
      </w:pPr>
      <w:r>
        <w:rPr>
          <w:rFonts w:ascii="Calibri" w:cs="Calibri" w:eastAsia="Calibri" w:hAnsi="Calibri"/>
          <w:color w:val="000000"/>
          <w:sz w:val="22"/>
          <w:szCs w:val="22"/>
        </w:rPr>
        <w:t xml:space="preserve">Check container logs with docker logs -f stefco-claims-dashboard. Common causes include missing DATABASE_URL environment variable, missing Prisma engine files (should be copied in Dockerfile), or port conflicts. Ensure the DATABASE_URL in docker-compose.yml matches the volume mount path.</w:t>
      </w:r>
    </w:p>
    <w:p>
      <w:pPr>
        <w:spacing w:after="80" w:line="312"/>
      </w:pPr>
      <w:r>
        <w:rPr>
          <w:rFonts w:ascii="Calibri" w:cs="Calibri" w:eastAsia="Calibri" w:hAnsi="Calibri"/>
          <w:b/>
          <w:bCs/>
          <w:color w:val="000000"/>
          <w:sz w:val="22"/>
          <w:szCs w:val="22"/>
        </w:rPr>
        <w:t xml:space="preserve">Issue: IMAP connection fails</w:t>
      </w:r>
    </w:p>
    <w:p>
      <w:pPr>
        <w:spacing w:after="120" w:line="312"/>
        <w:jc w:val="left"/>
      </w:pPr>
      <w:r>
        <w:rPr>
          <w:rFonts w:ascii="Calibri" w:cs="Calibri" w:eastAsia="Calibri" w:hAnsi="Calibri"/>
          <w:color w:val="000000"/>
          <w:sz w:val="22"/>
          <w:szCs w:val="22"/>
        </w:rPr>
        <w:t xml:space="preserve">Verify IMAP_HOST, IMAP_PORT, IMAP_USER, and IMAP_PASSWORD are correctly set. For Gmail, ensure you are using an App Password (not your account password). For Microsoft 365, Basic Authentication may require enabling in your tenant settings. Check that IMAP_SSL is set to true for port 993.</w:t>
      </w:r>
    </w:p>
    <w:p>
      <w:pPr>
        <w:spacing w:after="80" w:line="312"/>
      </w:pPr>
      <w:r>
        <w:rPr>
          <w:rFonts w:ascii="Calibri" w:cs="Calibri" w:eastAsia="Calibri" w:hAnsi="Calibri"/>
          <w:b/>
          <w:bCs/>
          <w:color w:val="000000"/>
          <w:sz w:val="22"/>
          <w:szCs w:val="22"/>
        </w:rPr>
        <w:t xml:space="preserve">Issue: AI classification returns errors</w:t>
      </w:r>
    </w:p>
    <w:p>
      <w:pPr>
        <w:spacing w:after="120" w:line="312"/>
        <w:jc w:val="left"/>
      </w:pPr>
      <w:r>
        <w:rPr>
          <w:rFonts w:ascii="Calibri" w:cs="Calibri" w:eastAsia="Calibri" w:hAnsi="Calibri"/>
          <w:color w:val="000000"/>
          <w:sz w:val="22"/>
          <w:szCs w:val="22"/>
        </w:rPr>
        <w:t xml:space="preserve">Verify the AI_PROVIDER is set correctly and the corresponding API key (GEMINI_API_KEY, GROQ_API_KEY, or OPENROUTER_API_KEY) is valid. Test the key by making a direct API call. Check the application logs for specific error messages from the AI provider. The z-ai-web-dev-sdk provides detailed error messages for authentication failures, rate limits, and invalid requests.</w:t>
      </w:r>
    </w:p>
    <w:p>
      <w:pPr>
        <w:spacing w:after="80" w:line="312"/>
      </w:pPr>
      <w:r>
        <w:rPr>
          <w:rFonts w:ascii="Calibri" w:cs="Calibri" w:eastAsia="Calibri" w:hAnsi="Calibri"/>
          <w:b/>
          <w:bCs/>
          <w:color w:val="000000"/>
          <w:sz w:val="22"/>
          <w:szCs w:val="22"/>
        </w:rPr>
        <w:t xml:space="preserve">Issue: Port 3000 already in use</w:t>
      </w:r>
    </w:p>
    <w:p>
      <w:pPr>
        <w:spacing w:after="120" w:line="312"/>
        <w:jc w:val="left"/>
      </w:pPr>
      <w:r>
        <w:rPr>
          <w:rFonts w:ascii="Calibri" w:cs="Calibri" w:eastAsia="Calibri" w:hAnsi="Calibri"/>
          <w:color w:val="000000"/>
          <w:sz w:val="22"/>
          <w:szCs w:val="22"/>
        </w:rPr>
        <w:t xml:space="preserve">Change the APP_PORT variable in your .env file to an available port (e.g., 3001, 8080). In Docker Compose, this variable maps the container port to the host port. In local development, the dev script uses port 3000 by default.</w:t>
      </w:r>
    </w:p>
    <w:p>
      <w:pPr>
        <w:pStyle w:val="Heading2"/>
        <w:spacing w:after="120" w:before="280" w:line="312"/>
      </w:pPr>
      <w:bookmarkStart w:id="100043" w:name="_Toc100043"/>
      <w:r>
        <w:rPr>
          <w:rFonts w:ascii="Times New Roman" w:cs="Times New Roman" w:eastAsia="Times New Roman" w:hAnsi="Times New Roman"/>
          <w:b/>
          <w:bCs/>
          <w:color w:val="0B1220"/>
          <w:sz w:val="26"/>
          <w:szCs w:val="26"/>
        </w:rPr>
        <w:t xml:space="preserve">10.3 Performance Optimization</w:t>
      </w:r>
      <w:bookmarkEnd w:id="100043"/>
    </w:p>
    <w:p>
      <w:pPr>
        <w:spacing w:after="120" w:line="312"/>
        <w:jc w:val="left"/>
      </w:pPr>
      <w:r>
        <w:rPr>
          <w:rFonts w:ascii="Calibri" w:cs="Calibri" w:eastAsia="Calibri" w:hAnsi="Calibri"/>
          <w:color w:val="000000"/>
          <w:sz w:val="22"/>
          <w:szCs w:val="22"/>
        </w:rPr>
        <w:t xml:space="preserve">For large volumes of emails (thousands per day), consider the following optimizations: increase the IMAP polling batch size, enable connection pooling in Prisma (already configured via global singleton), and monitor the SQLite database size. For deployments processing more than 100 emails per minute, consider migrating to PostgreSQL by changing the Prisma datasource provider and updating the DATABASE_URL. The application code is database-agnostic through Prisma and requires minimal changes for PostgreSQL migration.</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Stefco Claims Dashboard —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0B1220"/>
      <w:sz w:val="32"/>
      <w:szCs w:val="32"/>
    </w:rPr>
  </w:style>
  <w:style w:type="paragraph" w:styleId="Heading2">
    <w:name w:val="Heading 2"/>
    <w:basedOn w:val="Normal"/>
    <w:next w:val="Normal"/>
    <w:qFormat/>
    <w:pPr>
      <w:spacing w:after="120" w:before="280" w:line="312"/>
      <w:outlineLvl w:val="1"/>
    </w:pPr>
    <w:rPr>
      <w:rFonts w:ascii="Times New Roman"/>
      <w:b/>
      <w:bCs/>
      <w:color w:val="0B1220"/>
      <w:sz w:val="26"/>
      <w:szCs w:val="26"/>
    </w:rPr>
  </w:style>
  <w:style w:type="paragraph" w:styleId="Heading3">
    <w:name w:val="Heading 3"/>
    <w:basedOn w:val="Normal"/>
    <w:next w:val="Normal"/>
    <w:qFormat/>
    <w:pPr>
      <w:spacing w:after="100" w:before="200" w:line="312"/>
      <w:outlineLvl w:val="2"/>
    </w:pPr>
    <w:rPr>
      <w:rFonts w:ascii="Times New Roman"/>
      <w:b/>
      <w:bCs/>
      <w:color w:val="1B6B7A"/>
      <w:sz w:val="22"/>
      <w:szCs w:val="22"/>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2026-04-19T20:54:49.569Z</dcterms:created>
  <dcterms:modified xsi:type="dcterms:W3CDTF">2026-04-19T20:54:49.569Z</dcterms:modified>
</cp:coreProperties>
</file>

<file path=docProps/custom.xml><?xml version="1.0" encoding="utf-8"?>
<Properties xmlns="http://schemas.openxmlformats.org/officeDocument/2006/custom-properties" xmlns:vt="http://schemas.openxmlformats.org/officeDocument/2006/docPropsVTypes"/>
</file>