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071"/>
            <w:shd w:fill="0A1B2A" w:val="clear"/>
          </w:tcPr>
          <w:p>
            <w:pPr>
              <w:spacing w:before="120" w:after="120" w:line="276" w:lineRule="auto"/>
              <w:jc w:val="center"/>
            </w:pPr>
            <w:r>
              <w:rPr>
                <w:rFonts w:ascii="Arial" w:hAnsi="Arial"/>
                <w:b/>
                <w:color w:val="C5A450"/>
                <w:sz w:val="30"/>
              </w:rPr>
              <w:t>PLANO DE PRODUTO</w:t>
            </w:r>
            <w:r>
              <w:br/>
            </w:r>
            <w:r>
              <w:rPr>
                <w:rFonts w:ascii="Arial" w:hAnsi="Arial"/>
                <w:b/>
                <w:color w:val="FFFFFF"/>
                <w:sz w:val="48"/>
              </w:rPr>
              <w:t>Portal da Rota Bioceanica</w:t>
            </w:r>
            <w:r>
              <w:br/>
            </w:r>
            <w:r>
              <w:rPr>
                <w:rFonts w:ascii="Arial" w:hAnsi="Arial"/>
                <w:color w:val="E8E8E8"/>
                <w:sz w:val="22"/>
              </w:rPr>
              <w:t>Documento executivo completo para investidores, parceiros institucionais e operadores de mercado</w:t>
            </w:r>
          </w:p>
        </w:tc>
      </w:tr>
    </w:tbl>
    <w:p/>
    <w:p>
      <w:pPr>
        <w:spacing w:before="280" w:after="120" w:line="276" w:lineRule="auto"/>
        <w:jc w:val="center"/>
      </w:pPr>
      <w:r>
        <w:rPr>
          <w:rFonts w:ascii="Arial" w:hAnsi="Arial"/>
          <w:b/>
          <w:color w:val="0D474A"/>
          <w:sz w:val="26"/>
        </w:rPr>
        <w:t>Hub narrativo, turistico, cultural e economico do corredor que conecta Brasil, Paraguai, Argentina e Chile.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34"/>
        <w:gridCol w:w="4734"/>
      </w:tblGrid>
      <w:tr>
        <w:tc>
          <w:tcPr>
            <w:tcW w:type="dxa" w:w="3118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Versao</w:t>
            </w:r>
          </w:p>
        </w:tc>
        <w:tc>
          <w:tcPr>
            <w:tcW w:type="dxa" w:w="538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1"/>
              </w:rPr>
              <w:t>Plano completo - abril de 2026</w:t>
            </w:r>
          </w:p>
        </w:tc>
      </w:tr>
      <w:tr>
        <w:tc>
          <w:tcPr>
            <w:tcW w:type="dxa" w:w="3118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Objetivo</w:t>
            </w:r>
          </w:p>
        </w:tc>
        <w:tc>
          <w:tcPr>
            <w:tcW w:type="dxa" w:w="538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1"/>
              </w:rPr>
              <w:t>Validar, estruturar e viabilizar o lancamento do produto com base em oportunidade real de mercado</w:t>
            </w:r>
          </w:p>
        </w:tc>
      </w:tr>
      <w:tr>
        <w:tc>
          <w:tcPr>
            <w:tcW w:type="dxa" w:w="3118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Ticket recomendado</w:t>
            </w:r>
          </w:p>
        </w:tc>
        <w:tc>
          <w:tcPr>
            <w:tcW w:type="dxa" w:w="538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1"/>
              </w:rPr>
              <w:t>R$ 650 mil a R$ 740 mil</w:t>
            </w:r>
          </w:p>
        </w:tc>
      </w:tr>
      <w:tr>
        <w:tc>
          <w:tcPr>
            <w:tcW w:type="dxa" w:w="3118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Horizonte de break-even</w:t>
            </w:r>
          </w:p>
        </w:tc>
        <w:tc>
          <w:tcPr>
            <w:tcW w:type="dxa" w:w="538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1"/>
              </w:rPr>
              <w:t>12 a 24 meses, com referencia central no mes 18</w:t>
            </w:r>
          </w:p>
        </w:tc>
      </w:tr>
    </w:tbl>
    <w:p>
      <w:pPr>
        <w:spacing w:before="320" w:after="0" w:line="276" w:lineRule="auto"/>
        <w:jc w:val="center"/>
      </w:pPr>
      <w:r>
        <w:rPr>
          <w:rFonts w:ascii="Arial" w:hAnsi="Arial"/>
          <w:i/>
          <w:color w:val="666666"/>
          <w:sz w:val="20"/>
        </w:rPr>
        <w:t>Confidencial para avaliacao estrategica. Valores financeiros em faixa ROM e sujeitos a refinamento na fase de discovery tecnico-comercial.</w:t>
      </w:r>
    </w:p>
    <w:p>
      <w:r>
        <w:br w:type="page"/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Indice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i/>
          <w:color w:val="666666"/>
          <w:sz w:val="20"/>
        </w:rPr>
        <w:t>Atualize o indice no Word com clique direito &gt; Atualizar Campo.</w:t>
      </w:r>
      <w:r>
        <w:fldChar w:fldCharType="end"/>
      </w:r>
    </w:p>
    <w:p>
      <w:r>
        <w:br w:type="page"/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1. Resumo Executivo</w:t>
      </w:r>
    </w:p>
    <w:p>
      <w:pPr>
        <w:pStyle w:val="BodyTextCustom"/>
        <w:spacing w:before="0" w:after="80" w:line="276" w:lineRule="auto"/>
      </w:pPr>
      <w:r>
        <w:t>O Portal da Rota Bioceanica e proposto como o principal hub narrativo, turistico, cultural e economico do corredor que conecta Brasil, Paraguai, Argentina e Chile. A tese central do produto e simples: transformar um megaprojeto de infraestrutura em uma plataforma de informacao, relacionamento e ativacao economica orientada ao fator humano.</w:t>
      </w:r>
    </w:p>
    <w:p>
      <w:pPr>
        <w:pStyle w:val="BodyTextCustom"/>
        <w:spacing w:before="0" w:after="80" w:line="276" w:lineRule="auto"/>
      </w:pPr>
      <w:r>
        <w:t>A oportunidade nasce da desconexao entre a relevancia crescente da rota e a natureza dos players digitais existentes, que concentram cobertura em obras, logistica, exportacao e estudos tecnicos. Ha uma lacuna clara para um produto editorial e comercial que destaque cidades, pessoas, experiencias, pequenos negocios, agendas de viagem e oportunidades regionais.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34"/>
        <w:gridCol w:w="4734"/>
      </w:tblGrid>
      <w:tr>
        <w:tc>
          <w:tcPr>
            <w:tcW w:type="dxa" w:w="2891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Conceito do produto</w:t>
            </w:r>
          </w:p>
        </w:tc>
        <w:tc>
          <w:tcPr>
            <w:tcW w:type="dxa" w:w="623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Portal editorial e de servicos que humaniza a Rota Bioceanica por meio de historias das cidades, turismo, cultura, pequenos negocios e oportunidades economicas locais.</w:t>
            </w:r>
          </w:p>
        </w:tc>
      </w:tr>
      <w:tr>
        <w:tc>
          <w:tcPr>
            <w:tcW w:type="dxa" w:w="2891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Oportunidade de mercado</w:t>
            </w:r>
          </w:p>
        </w:tc>
        <w:tc>
          <w:tcPr>
            <w:tcW w:type="dxa" w:w="623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Existe lacuna real entre a relevancia da rota e a ausencia de uma plataforma orientada ao fator humano. O pico de atencao previsto para 2026 cria janela de entrada favoravel.</w:t>
            </w:r>
          </w:p>
        </w:tc>
      </w:tr>
      <w:tr>
        <w:tc>
          <w:tcPr>
            <w:tcW w:type="dxa" w:w="2891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Diferencial competitivo</w:t>
            </w:r>
          </w:p>
        </w:tc>
        <w:tc>
          <w:tcPr>
            <w:tcW w:type="dxa" w:w="623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Enquanto os players atuais priorizam obras, logistica e estudos tecnicos, o portal propoe storytelling territorial, guias vivos e ativacao economica das cidades do corredor.</w:t>
            </w:r>
          </w:p>
        </w:tc>
      </w:tr>
      <w:tr>
        <w:tc>
          <w:tcPr>
            <w:tcW w:type="dxa" w:w="2891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Investimento necessario</w:t>
            </w:r>
          </w:p>
        </w:tc>
        <w:tc>
          <w:tcPr>
            <w:tcW w:type="dxa" w:w="623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Ticket recomendado entre R$ 650 mil e R$ 740 mil, incluindo MVP, estrutura editorial inicial, marketing, operacao, conteudo e contingencia para os primeiros 6 meses.</w:t>
            </w:r>
          </w:p>
        </w:tc>
      </w:tr>
      <w:tr>
        <w:tc>
          <w:tcPr>
            <w:tcW w:type="dxa" w:w="2891"/>
            <w:shd w:fill="EDE3C7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A1B2A"/>
                <w:sz w:val="21"/>
              </w:rPr>
              <w:t>Retorno esperado</w:t>
            </w:r>
          </w:p>
        </w:tc>
        <w:tc>
          <w:tcPr>
            <w:tcW w:type="dxa" w:w="623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Receita conservadora de R$ 39,5 mil/mes em 12-18 meses, escala de ate R$ 123 mil/mes em 24-36 meses e break-even operacional esperado em torno do mes 18.</w:t>
            </w:r>
          </w:p>
        </w:tc>
      </w:tr>
    </w:tbl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1.1 Premissas estrategicas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Janela de oportunidade alinhada ao pico de atencao sobre a Rota Bioceanica em 2026.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Lancamento inicial bilinguue em portugues e espanhol, com ingles previsto para fase posterior.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Valores financeiros apresentados como estimativas ROM, sujeitos a refinamento no discovery tecnico-comercial.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Posicionamento de mercado ancorado em conteudo, relacionamento institucional e monetizacao multiplataforma.</w:t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2. Contexto, Mercado e Oportunidade</w:t>
      </w:r>
    </w:p>
    <w:p>
      <w:pPr>
        <w:pStyle w:val="BodyTextCustom"/>
        <w:spacing w:before="0" w:after="80" w:line="276" w:lineRule="auto"/>
      </w:pPr>
      <w:r>
        <w:t>A Rota Bioceanica se consolida como um dos eixos logistico-economicos mais relevantes da America do Sul. A expectativa de conclusao estrutural e operacional em 2026, somada ao potencial de reducao de ate 15 a 17 dias no acesso ao mercado asiatico, reposiciona o corredor como vetor de competitividade, integracao regional e dinamizacao de cadeias locais.</w:t>
      </w:r>
    </w:p>
    <w:p>
      <w:pPr>
        <w:pStyle w:val="BodyTextCustom"/>
        <w:spacing w:before="0" w:after="80" w:line="276" w:lineRule="auto"/>
      </w:pPr>
      <w:r>
        <w:t>No entanto, a narrativa publica ainda e dominada por infraestrutura pesada, acordos governamentais e macroeconomia. Essa abordagem informa o mercado institucional, mas deixa descoberto o usuario final, o viajante, o empreendedor local, o investidor territorial e os atores da economia de servicos. E exatamente nesse espaco que o produto proposto ganha relevancia e diferenciacao.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2.1 Tese de oportunidade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Existe demanda crescente por informacao contextualizada sobre as cidades e os fluxos humanos associados ao corredor.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A inexistencia de um portal de referencia sobre historias, turismo e oportunidades locais abre espaco para lideranca de categoria.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O crescimento do interesse institucional em 2026 favorece SEO, parcerias e monetizacao se o produto entrar no mercado com antecedencia.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O portal pode capturar valor em publicidade, afiliacao, conteudo patrocinado, servicos B2B, eventos e produtos premium.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2.2 Benchmark e lacuna de mercado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381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Player</w:t>
            </w:r>
          </w:p>
        </w:tc>
        <w:tc>
          <w:tcPr>
            <w:tcW w:type="dxa" w:w="3175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Foco atual</w:t>
            </w:r>
          </w:p>
        </w:tc>
        <w:tc>
          <w:tcPr>
            <w:tcW w:type="dxa" w:w="3969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Lacuna / oportunidade</w:t>
            </w:r>
          </w:p>
        </w:tc>
      </w:tr>
      <w:tr>
        <w:tc>
          <w:tcPr>
            <w:tcW w:type="dxa" w:w="238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Rota Bioceanica News</w:t>
            </w:r>
          </w:p>
        </w:tc>
        <w:tc>
          <w:tcPr>
            <w:tcW w:type="dxa" w:w="317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Obras, portos, acordos e infraestrutura</w:t>
            </w:r>
          </w:p>
        </w:tc>
        <w:tc>
          <w:tcPr>
            <w:tcW w:type="dxa" w:w="3969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Nao se posiciona como plataforma de cidades, turismo e experiencias</w:t>
            </w:r>
          </w:p>
        </w:tc>
      </w:tr>
      <w:tr>
        <w:tc>
          <w:tcPr>
            <w:tcW w:type="dxa" w:w="238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Observa Rota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Documentacao tecnica, historica e academica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Linguagem institucional e baixo apelo ao consumidor final</w:t>
            </w:r>
          </w:p>
        </w:tc>
      </w:tr>
      <w:tr>
        <w:tc>
          <w:tcPr>
            <w:tcW w:type="dxa" w:w="238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rotabioceanica.com.br</w:t>
            </w:r>
          </w:p>
        </w:tc>
        <w:tc>
          <w:tcPr>
            <w:tcW w:type="dxa" w:w="317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Informacoes gerais sobre a rota e trajetos</w:t>
            </w:r>
          </w:p>
        </w:tc>
        <w:tc>
          <w:tcPr>
            <w:tcW w:type="dxa" w:w="3969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Pouca profundidade editorial sobre municipios, comercio local e servicos</w:t>
            </w:r>
          </w:p>
        </w:tc>
      </w:tr>
      <w:tr>
        <w:tc>
          <w:tcPr>
            <w:tcW w:type="dxa" w:w="238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Conclusao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Mercado com cobertura funcional, mas sem lider lideranca narrativa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Espaco aberto para um hub premium focado no fator humano da rota</w:t>
            </w:r>
          </w:p>
        </w:tc>
      </w:tr>
    </w:tbl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3. Visao do Produto</w:t>
      </w:r>
    </w:p>
    <w:p>
      <w:pPr>
        <w:pStyle w:val="BodyTextCustom"/>
        <w:spacing w:before="0" w:after="80" w:line="276" w:lineRule="auto"/>
      </w:pPr>
      <w:r>
        <w:t>O Portal da Rota Bioceanica deve nascer como uma plataforma digital modular, com proposta editorial clara e capacidade de expansao para servicos, dados, parcerias e marketplace. A visao de produto e converter interesse difuso sobre a rota em uma experiencia recorrente de conteudo, descoberta territorial e conexao economica.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3.1 Proposta de valor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Para o publico geral: descobrir cidades, roteiros, cultura, gastronomia e historias humanas da rota.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Para prefeituras e secretarias: ganhar visibilidade qualificada e vitrine institucional com narrativa contemporanea.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Para empresas locais: gerar demanda, reputacao e oportunidades de publicidade e parceria.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Para investidores e operadores: acessar inteligencia territorial, tendencias e oportunidades regionais de forma acessivel.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3.2 Publicos prioritarios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Turistas e viajantes interessados em roteiros regionais e experiencias autentes.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Empreendedores, hoteleiros, operadores turisticos, gastronomia e comercio local.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Prefeituras, entidades de desenvolvimento, cultura e turismo.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Empresas de logistica, infraestrutura, servicos e integracao regional.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Imprensa, universidades e observatorios ligados ao corredor.</w:t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4. Estrutura do Produto e Escopo do MVP</w:t>
      </w:r>
    </w:p>
    <w:p>
      <w:pPr>
        <w:pStyle w:val="BodyTextCustom"/>
        <w:spacing w:before="0" w:after="80" w:line="276" w:lineRule="auto"/>
      </w:pPr>
      <w:r>
        <w:t>O MVP deve equilibrar velocidade de entrada, impacto editorial e capacidade de monetizacao inicial. A recomendacao e iniciar com um nucleo enxuto e robusto, com forte base SEO, arquitetura escalavel e capacidade bilingue desde a primeira versao.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Modulo</w:t>
            </w:r>
          </w:p>
        </w:tc>
        <w:tc>
          <w:tcPr>
            <w:tcW w:type="dxa" w:w="5556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Descricao</w:t>
            </w:r>
          </w:p>
        </w:tc>
        <w:tc>
          <w:tcPr>
            <w:tcW w:type="dxa" w:w="1701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Prioridade</w:t>
            </w:r>
          </w:p>
        </w:tc>
      </w:tr>
      <w:tr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Hub editorial</w:t>
            </w:r>
          </w:p>
        </w:tc>
        <w:tc>
          <w:tcPr>
            <w:tcW w:type="dxa" w:w="555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Noticias, reportagens especiais, entrevistas e historias das cidades</w:t>
            </w:r>
          </w:p>
        </w:tc>
        <w:tc>
          <w:tcPr>
            <w:tcW w:type="dxa" w:w="170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Critica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Diretorio de cidades</w:t>
            </w:r>
          </w:p>
        </w:tc>
        <w:tc>
          <w:tcPr>
            <w:tcW w:type="dxa" w:w="5556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Paginas estruturadas por municipio com dados, servicos, turismo e gastronomia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Critica</w:t>
            </w:r>
          </w:p>
        </w:tc>
      </w:tr>
      <w:tr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Bilinguismo PT/ES</w:t>
            </w:r>
          </w:p>
        </w:tc>
        <w:tc>
          <w:tcPr>
            <w:tcW w:type="dxa" w:w="555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Experiencia de navegacao em portugues e espanhol com URLs e SEO apropriados</w:t>
            </w:r>
          </w:p>
        </w:tc>
        <w:tc>
          <w:tcPr>
            <w:tcW w:type="dxa" w:w="170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Alta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Mapa interativo</w:t>
            </w:r>
          </w:p>
        </w:tc>
        <w:tc>
          <w:tcPr>
            <w:tcW w:type="dxa" w:w="5556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Visualizacao da rota com acesso rapido a cidades e conteudos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Alta</w:t>
            </w:r>
          </w:p>
        </w:tc>
      </w:tr>
      <w:tr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Area comercial</w:t>
            </w:r>
          </w:p>
        </w:tc>
        <w:tc>
          <w:tcPr>
            <w:tcW w:type="dxa" w:w="555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Formatos de patrocinio, formularios e paginas de parceria</w:t>
            </w:r>
          </w:p>
        </w:tc>
        <w:tc>
          <w:tcPr>
            <w:tcW w:type="dxa" w:w="170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Alta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Analytics e SEO</w:t>
            </w:r>
          </w:p>
        </w:tc>
        <w:tc>
          <w:tcPr>
            <w:tcW w:type="dxa" w:w="5556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Instrumentacao para medicao de audiencia, engajamento e performance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Critica</w:t>
            </w:r>
          </w:p>
        </w:tc>
      </w:tr>
    </w:tbl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4.1 Escopo geografico inicial sugerido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Brasil: Campo Grande, Porto Murtinho, Bonito e municipios de relevancia logistica e turistica de Mato Grosso do Sul.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Paraguai: Carmelo Peralta, Mariscal Estigarribia, Loma Plata, Filadelfia e Pozo Hondo.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Argentina: Mision La Paz, Tartagal, Salta e San Salvador de Jujuy.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Chile: Antofagasta, Mejillones, Iquique, Tocopilla e Arica.</w:t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5. Arquitetura Tecnologica Recomendada</w:t>
      </w:r>
    </w:p>
    <w:p>
      <w:pPr>
        <w:pStyle w:val="BodyTextCustom"/>
        <w:spacing w:before="0" w:after="80" w:line="276" w:lineRule="auto"/>
      </w:pPr>
      <w:r>
        <w:t>A recomendacao tecnica segue uma abordagem moderna, escalavel e orientada a performance. O objetivo nao e apenas publicar conteudo, mas garantir velocidade, SEO, seguranca, governanca editorial e capacidade multinacional desde o inicio.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984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Camada</w:t>
            </w:r>
          </w:p>
        </w:tc>
        <w:tc>
          <w:tcPr>
            <w:tcW w:type="dxa" w:w="2835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Recomendacao</w:t>
            </w:r>
          </w:p>
        </w:tc>
        <w:tc>
          <w:tcPr>
            <w:tcW w:type="dxa" w:w="4706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Justificativa</w:t>
            </w:r>
          </w:p>
        </w:tc>
      </w:tr>
      <w:tr>
        <w:tc>
          <w:tcPr>
            <w:tcW w:type="dxa" w:w="1984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Frontend</w:t>
            </w:r>
          </w:p>
        </w:tc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Next.js (React)</w:t>
            </w:r>
          </w:p>
        </w:tc>
        <w:tc>
          <w:tcPr>
            <w:tcW w:type="dxa" w:w="470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Excelente para SEO, performance, SSR e crescimento modular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CMS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Strapi ou Contentful</w:t>
            </w:r>
          </w:p>
        </w:tc>
        <w:tc>
          <w:tcPr>
            <w:tcW w:type="dxa" w:w="4706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Governanca editorial, conteudo desacoplado e suporte bilingue</w:t>
            </w:r>
          </w:p>
        </w:tc>
      </w:tr>
      <w:tr>
        <w:tc>
          <w:tcPr>
            <w:tcW w:type="dxa" w:w="1984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Infraestrutura</w:t>
            </w:r>
          </w:p>
        </w:tc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Cloud + CDN</w:t>
            </w:r>
          </w:p>
        </w:tc>
        <w:tc>
          <w:tcPr>
            <w:tcW w:type="dxa" w:w="470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Baixa latencia e escalabilidade para multiplos paises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Busca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Algolia ou equivalente</w:t>
            </w:r>
          </w:p>
        </w:tc>
        <w:tc>
          <w:tcPr>
            <w:tcW w:type="dxa" w:w="4706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Pesquisa rapida por cidades, termos, servicos e materias</w:t>
            </w:r>
          </w:p>
        </w:tc>
      </w:tr>
      <w:tr>
        <w:tc>
          <w:tcPr>
            <w:tcW w:type="dxa" w:w="1984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Analytics</w:t>
            </w:r>
          </w:p>
        </w:tc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GA4 + Search Console + dashboards</w:t>
            </w:r>
          </w:p>
        </w:tc>
        <w:tc>
          <w:tcPr>
            <w:tcW w:type="dxa" w:w="4706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Medicao de audiencia, conversao e saude do canal organico</w:t>
            </w:r>
          </w:p>
        </w:tc>
      </w:tr>
    </w:tbl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5.1 Boas praticas de gestao e seguranca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Workflow editorial com papeis e aprovacoes: autor, revisor e editor.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Padrao de SEO tecnico com schema, sitemap, metadata e estrutura multilocal.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Metas de performance baseadas em Core Web Vitals e experiencia mobile-first.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Ambiente cloud com backup, monitoramento e rotina de atualizacao preventiva.</w:t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6. Modelo de Monetizacao</w:t>
      </w:r>
    </w:p>
    <w:p>
      <w:pPr>
        <w:pStyle w:val="BodyTextCustom"/>
        <w:spacing w:before="0" w:after="80" w:line="276" w:lineRule="auto"/>
      </w:pPr>
      <w:r>
        <w:t>A monetizacao deve ser tratada como um portifolio de receitas e nao como dependencia de uma unica alavanca. O desenho do negocio combina publicidade, conteudo patrocinado, afiliacao, servicos B2B, relatorios, eventos e produtos premium. Essa combinacao reduz risco e amplia margem de captacao ao longo do tempo.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041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Pilar</w:t>
            </w:r>
          </w:p>
        </w:tc>
        <w:tc>
          <w:tcPr>
            <w:tcW w:type="dxa" w:w="3628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Modelo</w:t>
            </w:r>
          </w:p>
        </w:tc>
        <w:tc>
          <w:tcPr>
            <w:tcW w:type="dxa" w:w="3855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Potencial</w:t>
            </w:r>
          </w:p>
        </w:tc>
      </w:tr>
      <w:tr>
        <w:tc>
          <w:tcPr>
            <w:tcW w:type="dxa" w:w="204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Publicidade digital</w:t>
            </w:r>
          </w:p>
        </w:tc>
        <w:tc>
          <w:tcPr>
            <w:tcW w:type="dxa" w:w="362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Display, native e programatica</w:t>
            </w:r>
          </w:p>
        </w:tc>
        <w:tc>
          <w:tcPr>
            <w:tcW w:type="dxa" w:w="385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Entrada simples e escalavel com audiencia</w:t>
            </w:r>
          </w:p>
        </w:tc>
      </w:tr>
      <w:tr>
        <w:tc>
          <w:tcPr>
            <w:tcW w:type="dxa" w:w="204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Afiliacao em turismo</w:t>
            </w:r>
          </w:p>
        </w:tc>
        <w:tc>
          <w:tcPr>
            <w:tcW w:type="dxa" w:w="362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Hoteis, passeios, aluguel de carros e servicos</w:t>
            </w:r>
          </w:p>
        </w:tc>
        <w:tc>
          <w:tcPr>
            <w:tcW w:type="dxa" w:w="385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Conversao orientada a conteudo e guias</w:t>
            </w:r>
          </w:p>
        </w:tc>
      </w:tr>
      <w:tr>
        <w:tc>
          <w:tcPr>
            <w:tcW w:type="dxa" w:w="204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Parcerias institucionais</w:t>
            </w:r>
          </w:p>
        </w:tc>
        <w:tc>
          <w:tcPr>
            <w:tcW w:type="dxa" w:w="362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Secoes patrocinadas, cobertura e presencia editorial</w:t>
            </w:r>
          </w:p>
        </w:tc>
        <w:tc>
          <w:tcPr>
            <w:tcW w:type="dxa" w:w="385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Alta aderencia ao territorio</w:t>
            </w:r>
          </w:p>
        </w:tc>
      </w:tr>
      <w:tr>
        <w:tc>
          <w:tcPr>
            <w:tcW w:type="dxa" w:w="204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Conteudo premium</w:t>
            </w:r>
          </w:p>
        </w:tc>
        <w:tc>
          <w:tcPr>
            <w:tcW w:type="dxa" w:w="362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Newsletter, relatorios, guias e area de membros</w:t>
            </w:r>
          </w:p>
        </w:tc>
        <w:tc>
          <w:tcPr>
            <w:tcW w:type="dxa" w:w="385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Receita recorrente e margem alta</w:t>
            </w:r>
          </w:p>
        </w:tc>
      </w:tr>
      <w:tr>
        <w:tc>
          <w:tcPr>
            <w:tcW w:type="dxa" w:w="204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Eventos e experiencias</w:t>
            </w:r>
          </w:p>
        </w:tc>
        <w:tc>
          <w:tcPr>
            <w:tcW w:type="dxa" w:w="362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Webinars, encontros e expedicoes</w:t>
            </w:r>
          </w:p>
        </w:tc>
        <w:tc>
          <w:tcPr>
            <w:tcW w:type="dxa" w:w="385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Marca, comunidade e monetizacao B2C/B2B</w:t>
            </w:r>
          </w:p>
        </w:tc>
      </w:tr>
      <w:tr>
        <w:tc>
          <w:tcPr>
            <w:tcW w:type="dxa" w:w="204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Servicos B2B</w:t>
            </w:r>
          </w:p>
        </w:tc>
        <w:tc>
          <w:tcPr>
            <w:tcW w:type="dxa" w:w="362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Conteudo, comunicacao e inteligencia territorial</w:t>
            </w:r>
          </w:p>
        </w:tc>
        <w:tc>
          <w:tcPr>
            <w:tcW w:type="dxa" w:w="385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Ticket medio superior</w:t>
            </w:r>
          </w:p>
        </w:tc>
      </w:tr>
    </w:tbl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6.1 Faixas consolidadas de receita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Cenario conservador: R$ 39,5 mil por mes no horizonte de 12 a 18 meses.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Cenario de escala: ate R$ 123 mil por mes no horizonte de 24 a 36 meses.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Receita anual potencial: entre R$ 474 mil e R$ 1,476 milhao, dependendo da velocidade de tracao comercial.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Break-even operacional esperado em faixa de 12 a 24 meses, com referencia central no mes 18.</w:t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7. Plano de Implementacao</w:t>
      </w:r>
    </w:p>
    <w:p>
      <w:pPr>
        <w:pStyle w:val="BodyTextCustom"/>
        <w:spacing w:before="0" w:after="80" w:line="276" w:lineRule="auto"/>
      </w:pPr>
      <w:r>
        <w:t>A implementacao recomendada combina disciplina de produto, construcao editorial e ativacao comercial em oito fases. A logica do roadmap e preparar a plataforma, entrar no mercado com clareza de categoria e escalar de forma progressiva antes do auge do interesse sobre a rota.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Discovery e posicionamento: definicao de tese, marca, publico, escopo e objetivos de negocio.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Branding, dominio e governanca editorial: arquitetura de marca, diretrizes de voz, politicas e fluxos.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UX/UI e arquitetura da informacao: navegacao, wireframes, pagina de cidade, artigo, home e paginas institucionais.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Backend, CMS e infraestrutura cloud: modelagem de conteudo, setup tecnico, ambientes e seguranca.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Frontend, mapa e diretorio de cidades: interfaces publicas, paginas estruturadas e experiencia de descoberta.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Producao de conteudo semente PT/ES: lote inicial de cidades, reportagens, guias e materiais de autoridade.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Parcerias-piloto e ativacao comercial: abordagem a secretarias, entidades, hoteis, operadores e patrocinadores.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Lancamento, analytics e otimizaacao continua: publicacao, acompanhamento de indicadores e ajustes de conversao.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7.1 Cronograma macro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Fase</w:t>
            </w:r>
          </w:p>
        </w:tc>
        <w:tc>
          <w:tcPr>
            <w:tcW w:type="dxa" w:w="2268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Meses sugeridos</w:t>
            </w:r>
          </w:p>
        </w:tc>
        <w:tc>
          <w:tcPr>
            <w:tcW w:type="dxa" w:w="5102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Resultado esperado</w:t>
            </w:r>
          </w:p>
        </w:tc>
      </w:tr>
      <w:tr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Discovery + branding</w:t>
            </w:r>
          </w:p>
        </w:tc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Mes 1</w:t>
            </w:r>
          </w:p>
        </w:tc>
        <w:tc>
          <w:tcPr>
            <w:tcW w:type="dxa" w:w="5102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Posicionamento, naming e backlog priorizado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UX/UI + arquitetura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Meses 1-2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Prototipos aprovados e estrutura informacional definida</w:t>
            </w:r>
          </w:p>
        </w:tc>
      </w:tr>
      <w:tr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Backend + infraestrutura</w:t>
            </w:r>
          </w:p>
        </w:tc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Meses 2-3</w:t>
            </w:r>
          </w:p>
        </w:tc>
        <w:tc>
          <w:tcPr>
            <w:tcW w:type="dxa" w:w="5102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CMS operante e ambientes prontos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Frontend + mapa + diretorio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Meses 3-4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Plataforma navegavel em ambiente de homologacao</w:t>
            </w:r>
          </w:p>
        </w:tc>
      </w:tr>
      <w:tr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Conteudo semente + PT/ES</w:t>
            </w:r>
          </w:p>
        </w:tc>
        <w:tc>
          <w:tcPr>
            <w:tcW w:type="dxa" w:w="226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Meses 3-5</w:t>
            </w:r>
          </w:p>
        </w:tc>
        <w:tc>
          <w:tcPr>
            <w:tcW w:type="dxa" w:w="5102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Base editorial pronta para lancamento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Ativacao comercial + lancamento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Meses 5-6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Portal no ar com audiencia, parceiros e operacao instrumentada</w:t>
            </w:r>
          </w:p>
        </w:tc>
      </w:tr>
    </w:tbl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8. Metas e KPIs</w:t>
      </w:r>
    </w:p>
    <w:p>
      <w:pPr>
        <w:pStyle w:val="BodyTextCustom"/>
        <w:spacing w:before="0" w:after="80" w:line="276" w:lineRule="auto"/>
      </w:pPr>
      <w:r>
        <w:t>A governanca de performance deve acompanhar audiencia, engajamento, monetizacao e capacidade de fechar parcerias. KPIs simples e claros ajudam a manter foco e garantem leitura executiva para investidores e parceiros institucionais.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835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Horizonte</w:t>
            </w:r>
          </w:p>
        </w:tc>
        <w:tc>
          <w:tcPr>
            <w:tcW w:type="dxa" w:w="2835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Foco estrategico</w:t>
            </w:r>
          </w:p>
        </w:tc>
        <w:tc>
          <w:tcPr>
            <w:tcW w:type="dxa" w:w="3402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KPIs principais</w:t>
            </w:r>
          </w:p>
        </w:tc>
      </w:tr>
      <w:tr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Curto prazo (3-6 meses)</w:t>
            </w:r>
          </w:p>
        </w:tc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Lancamento tecnico, indexacao e base editorial</w:t>
            </w:r>
          </w:p>
        </w:tc>
        <w:tc>
          <w:tcPr>
            <w:tcW w:type="dxa" w:w="3402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100% das cidades prioritarias publicadas; 15 mil visitantes unicos/mes; tempo medio &gt; 2m30s</w:t>
            </w:r>
          </w:p>
        </w:tc>
      </w:tr>
      <w:tr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Medio prazo (6-12 meses)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Audiencia regional e parcerias institucionais</w:t>
            </w:r>
          </w:p>
        </w:tc>
        <w:tc>
          <w:tcPr>
            <w:tcW w:type="dxa" w:w="3402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75 mil visitantes/mes; 35% do trafego hispanofalante; 5 acordos com secretarias e turismo</w:t>
            </w:r>
          </w:p>
        </w:tc>
      </w:tr>
      <w:tr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Longo prazo (12-24 meses)</w:t>
            </w:r>
          </w:p>
        </w:tc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Monetizacao plena e escala de produto</w:t>
            </w:r>
          </w:p>
        </w:tc>
        <w:tc>
          <w:tcPr>
            <w:tcW w:type="dxa" w:w="3402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250 mil+ visitantes/mes; break-even operacional; preparacao para marketplace e novos produtos</w:t>
            </w:r>
          </w:p>
        </w:tc>
      </w:tr>
    </w:tbl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9. Plano Financeiro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9.1 Estrutura de investimento</w:t>
      </w:r>
    </w:p>
    <w:p>
      <w:pPr>
        <w:pStyle w:val="BodyTextCustom"/>
        <w:spacing w:before="0" w:after="80" w:line="276" w:lineRule="auto"/>
      </w:pPr>
      <w:r>
        <w:t>A leitura financeira proposta separa claramente investimento de implantacao, estrutura de operacao inicial e reserva para dar sustentacao ao negocio nos primeiros seis meses. O objetivo nao e apenas publicar o MVP, mas financiar a fase critica de tracao, aprendizagem e validacao de canais de receita.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6803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Destinacao</w:t>
            </w:r>
          </w:p>
        </w:tc>
        <w:tc>
          <w:tcPr>
            <w:tcW w:type="dxa" w:w="2835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Valor estimado</w:t>
            </w:r>
          </w:p>
        </w:tc>
      </w:tr>
      <w:tr>
        <w:tc>
          <w:tcPr>
            <w:tcW w:type="dxa" w:w="6803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Plataforma e desenvolvimento MVP</w:t>
            </w:r>
          </w:p>
        </w:tc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R$ 180.000</w:t>
            </w:r>
          </w:p>
        </w:tc>
      </w:tr>
      <w:tr>
        <w:tc>
          <w:tcPr>
            <w:tcW w:type="dxa" w:w="6803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Equipe base (6 meses)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R$ 270.000</w:t>
            </w:r>
          </w:p>
        </w:tc>
      </w:tr>
      <w:tr>
        <w:tc>
          <w:tcPr>
            <w:tcW w:type="dxa" w:w="6803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Rede de conteudo local / freelancers (6 meses)</w:t>
            </w:r>
          </w:p>
        </w:tc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R$ 75.000</w:t>
            </w:r>
          </w:p>
        </w:tc>
      </w:tr>
      <w:tr>
        <w:tc>
          <w:tcPr>
            <w:tcW w:type="dxa" w:w="6803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Marketing e aquisicao (6 meses)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R$ 120.000</w:t>
            </w:r>
          </w:p>
        </w:tc>
      </w:tr>
      <w:tr>
        <w:tc>
          <w:tcPr>
            <w:tcW w:type="dxa" w:w="6803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Infraestrutura e SaaS (6 meses)</w:t>
            </w:r>
          </w:p>
        </w:tc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R$ 30.000</w:t>
            </w:r>
          </w:p>
        </w:tc>
      </w:tr>
      <w:tr>
        <w:tc>
          <w:tcPr>
            <w:tcW w:type="dxa" w:w="6803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Reserva contingencial / juridico / comercial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R$ 65.000</w:t>
            </w:r>
          </w:p>
        </w:tc>
      </w:tr>
      <w:tr>
        <w:tc>
          <w:tcPr>
            <w:tcW w:type="dxa" w:w="6803"/>
            <w:shd w:fill="0D474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TOTAL RECOMENDADO</w:t>
            </w:r>
          </w:p>
        </w:tc>
        <w:tc>
          <w:tcPr>
            <w:tcW w:type="dxa" w:w="2835"/>
            <w:shd w:fill="0D474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R$ 740.000</w:t>
            </w:r>
          </w:p>
        </w:tc>
      </w:tr>
    </w:tbl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9.2 Referencias de CAPEX e OPEX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CAPEX MVP estimado no plano: R$ 150 mil a R$ 200 mil.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OPEX mensal estimado: R$ 63 mil a R$ 90 mil, a depender do ritmo de equipe, conteudo e marketing.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Ticket recomendado de implantacao para decisao executiva: faixa de R$ 650 mil a R$ 740 mil.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9.3 Projecao de receita trimestral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2835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Trimestre</w:t>
            </w:r>
          </w:p>
        </w:tc>
        <w:tc>
          <w:tcPr>
            <w:tcW w:type="dxa" w:w="3118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Receita projetada</w:t>
            </w:r>
          </w:p>
        </w:tc>
      </w:tr>
      <w:tr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T1</w:t>
            </w:r>
          </w:p>
        </w:tc>
        <w:tc>
          <w:tcPr>
            <w:tcW w:type="dxa" w:w="311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R$ 12.000</w:t>
            </w:r>
          </w:p>
        </w:tc>
      </w:tr>
      <w:tr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T2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R$ 45.000</w:t>
            </w:r>
          </w:p>
        </w:tc>
      </w:tr>
      <w:tr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T3</w:t>
            </w:r>
          </w:p>
        </w:tc>
        <w:tc>
          <w:tcPr>
            <w:tcW w:type="dxa" w:w="311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R$ 90.000</w:t>
            </w:r>
          </w:p>
        </w:tc>
      </w:tr>
      <w:tr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T4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R$ 135.000</w:t>
            </w:r>
          </w:p>
        </w:tc>
      </w:tr>
      <w:tr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T5</w:t>
            </w:r>
          </w:p>
        </w:tc>
        <w:tc>
          <w:tcPr>
            <w:tcW w:type="dxa" w:w="311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R$ 180.000</w:t>
            </w:r>
          </w:p>
        </w:tc>
      </w:tr>
      <w:tr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T6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R$ 240.000</w:t>
            </w:r>
          </w:p>
        </w:tc>
      </w:tr>
      <w:tr>
        <w:tc>
          <w:tcPr>
            <w:tcW w:type="dxa" w:w="2835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T7</w:t>
            </w:r>
          </w:p>
        </w:tc>
        <w:tc>
          <w:tcPr>
            <w:tcW w:type="dxa" w:w="3118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R$ 300.000</w:t>
            </w:r>
          </w:p>
        </w:tc>
      </w:tr>
      <w:tr>
        <w:tc>
          <w:tcPr>
            <w:tcW w:type="dxa" w:w="2835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T8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R$ 369.000</w:t>
            </w:r>
          </w:p>
        </w:tc>
      </w:tr>
    </w:tbl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9.4 Ponto de equilibrio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Break-even operacional estimado em aproximadamente R$ 75 mil por mes de receita recorrente.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Momento esperado de atingimento: em torno do T6, com referencia central no mes 18.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O payback do capital total depende da disciplina de OPEX e da velocidade de monetizacao institucional e comercial.</w:t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10. Go-to-Market e Parcerias</w:t>
      </w:r>
    </w:p>
    <w:p>
      <w:pPr>
        <w:pStyle w:val="BodyTextCustom"/>
        <w:spacing w:before="0" w:after="80" w:line="276" w:lineRule="auto"/>
      </w:pPr>
      <w:r>
        <w:t>A entrada no mercado deve combinar posicionamento editorial premium, relacoes institucionais e distribuicao organica altamente local. A mensagem de marca recomendada e: a rota e feita de asfalto, mas o portal e feito de pessoas. Isso cria distancia positiva frente aos players tecnicos e aproxima o produto de cidades, comunidades e parceiros comerciais.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10.1 Canais de ativacao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SEO local e regional com clusterizacao por cidade, categoria e pais.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Campanhas organicas e patrocinadas em redes sociais com recorte geolocalizado.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Relacoes publicas com imprensa regional, setorial e de turismo.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Parcerias-piloto com secretarias, hoteis, operadores e entidades de classe.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10.2 Contatos prioritarios por organizacao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Sebrae-MS, Fecomercio-MS e Assomasul.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Secretarias de turismo de Campo Grande, Porto Murtinho, Bonito e cidades ancora do corredor.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Camaras de comercio Brasil-Paraguai, Brasil-Argentina e Brasil-Chile.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Rede hoteleira, operadores turisticos e associacoes empresariais regionais.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Empresas de logistica, concessionarias, infraestrutura e servicos associados a rota.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Universidades e observatorios ligados ao corredor bioceanico.</w:t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11. Riscos e Mitigacoes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551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Risco</w:t>
            </w:r>
          </w:p>
        </w:tc>
        <w:tc>
          <w:tcPr>
            <w:tcW w:type="dxa" w:w="1417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Impacto</w:t>
            </w:r>
          </w:p>
        </w:tc>
        <w:tc>
          <w:tcPr>
            <w:tcW w:type="dxa" w:w="5669"/>
            <w:shd w:fill="0A1B2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Mitigacao recomendada</w:t>
            </w:r>
          </w:p>
        </w:tc>
      </w:tr>
      <w:tr>
        <w:tc>
          <w:tcPr>
            <w:tcW w:type="dxa" w:w="255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Atraso nas obras fisicas</w:t>
            </w:r>
          </w:p>
        </w:tc>
        <w:tc>
          <w:tcPr>
            <w:tcW w:type="dxa" w:w="1417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Alto</w:t>
            </w:r>
          </w:p>
        </w:tc>
        <w:tc>
          <w:tcPr>
            <w:tcW w:type="dxa" w:w="5669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Desvincular a narrativa editorial do calendario de obra e enfatizar preparacao, cultura e economia local</w:t>
            </w:r>
          </w:p>
        </w:tc>
      </w:tr>
      <w:tr>
        <w:tc>
          <w:tcPr>
            <w:tcW w:type="dxa" w:w="255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Baixa adesao institucional inicial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Medio</w:t>
            </w:r>
          </w:p>
        </w:tc>
        <w:tc>
          <w:tcPr>
            <w:tcW w:type="dxa" w:w="5669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Oferecer pilotos, demonstrar audiencia e valor antes de pacotes comerciais maiores</w:t>
            </w:r>
          </w:p>
        </w:tc>
      </w:tr>
      <w:tr>
        <w:tc>
          <w:tcPr>
            <w:tcW w:type="dxa" w:w="255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Execucao bilingue fraca</w:t>
            </w:r>
          </w:p>
        </w:tc>
        <w:tc>
          <w:tcPr>
            <w:tcW w:type="dxa" w:w="1417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Alto</w:t>
            </w:r>
          </w:p>
        </w:tc>
        <w:tc>
          <w:tcPr>
            <w:tcW w:type="dxa" w:w="5669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Garantir revisao humana nativa e padrao editorial consistente em PT/ES</w:t>
            </w:r>
          </w:p>
        </w:tc>
      </w:tr>
      <w:tr>
        <w:tc>
          <w:tcPr>
            <w:tcW w:type="dxa" w:w="2551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Dificuldade de cobertura em areas remotas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Medio</w:t>
            </w:r>
          </w:p>
        </w:tc>
        <w:tc>
          <w:tcPr>
            <w:tcW w:type="dxa" w:w="5669"/>
            <w:shd w:fill="FFFFFF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Criar rede de correspondentes e embaixadores locais remunerados por pauta aprovada</w:t>
            </w:r>
          </w:p>
        </w:tc>
      </w:tr>
      <w:tr>
        <w:tc>
          <w:tcPr>
            <w:tcW w:type="dxa" w:w="2551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Dependencia excessiva de uma fonte de receita</w:t>
            </w:r>
          </w:p>
        </w:tc>
        <w:tc>
          <w:tcPr>
            <w:tcW w:type="dxa" w:w="1417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Alto</w:t>
            </w:r>
          </w:p>
        </w:tc>
        <w:tc>
          <w:tcPr>
            <w:tcW w:type="dxa" w:w="5669"/>
            <w:shd w:fill="F5F7F9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Diversificar monetizacao desde o primeiro ano com portfolio equilibrado</w:t>
            </w:r>
          </w:p>
        </w:tc>
      </w:tr>
    </w:tbl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12. Proximos Passos Imediatos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12.1 Acoes prioritarias para os proximos 30 dias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Aprovar o budget de implantacao e o range de investimento recomendado.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Fechar naming, identidade visual e diretrizes de marca.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Registrar dominios, handles e bases digitais do projeto.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Definir o escopo geografico inicial e as cidades ancora do MVP.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Contratar lideranca de produto e estrutura editorial minima.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12.2 Checklist dos 10 primeiros passos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Aprovacao executiva do investimento.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Kick-off formal do projeto.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Definicao da marca final.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Registro de dominios e redes sociais.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Contratacao de Product Manager ou Tech Lead.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Selecao de Editor-Chefe e redacao PT/ES.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Validacao de wireframes e arquitetura do portal.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Setup de infraestrutura cloud e CMS.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Montagem do calendario editorial semente.</w:t>
      </w:r>
    </w:p>
    <w:p>
      <w:pPr>
        <w:pStyle w:val="ListNumber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Primeira rodada de reunioes com parceiros institucionais e comerciais.</w:t>
      </w:r>
    </w:p>
    <w:p>
      <w:pPr>
        <w:pStyle w:val="Heading2"/>
        <w:spacing w:before="120" w:after="60" w:line="276" w:lineRule="auto"/>
      </w:pPr>
      <w:r>
        <w:rPr>
          <w:rFonts w:ascii="Arial" w:hAnsi="Arial"/>
          <w:color w:val="0D474A"/>
        </w:rPr>
        <w:t>12.3 Decisoes pendentes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Escopo geografico exato do MVP inicial.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Marca definitiva do portal.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Idiomas de lancamento e profundidade da operacao bilingue.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Ordem de priorizacao dos canais de monetizacao.</w:t>
      </w:r>
    </w:p>
    <w:p>
      <w:pPr>
        <w:pStyle w:val="ListBullet"/>
        <w:spacing w:before="0" w:after="40" w:line="276" w:lineRule="auto"/>
        <w:ind w:left="283"/>
      </w:pPr>
      <w:r>
        <w:rPr>
          <w:rFonts w:ascii="Arial" w:hAnsi="Arial"/>
          <w:color w:val="333333"/>
          <w:sz w:val="21"/>
        </w:rPr>
        <w:t>Nivel de investimento inicial dentro da faixa recomendada.</w:t>
      </w:r>
    </w:p>
    <w:p>
      <w:pPr>
        <w:pStyle w:val="Heading1"/>
        <w:spacing w:before="80" w:after="80" w:line="276" w:lineRule="auto"/>
        <w:jc w:val="left"/>
      </w:pPr>
      <w:r>
        <w:rPr>
          <w:rFonts w:ascii="Arial" w:hAnsi="Arial"/>
          <w:color w:val="0A1B2A"/>
        </w:rPr>
        <w:t>13. Conclusao Executiva</w:t>
      </w:r>
    </w:p>
    <w:p>
      <w:pPr>
        <w:pStyle w:val="BodyTextCustom"/>
        <w:spacing w:before="0" w:after="80" w:line="276" w:lineRule="auto"/>
      </w:pPr>
      <w:r>
        <w:t>O Portal da Rota Bioceanica apresenta um caso consistente de oportunidade, timing e diferenciacao. O produto atende uma lacuna real de mercado, conecta-se a um vetor estrutural relevante para a America do Sul e possui arquitetura de monetizacao suficientemente diversificada para construir um negocio defensavel ao longo do tempo.</w:t>
      </w:r>
    </w:p>
    <w:p>
      <w:pPr>
        <w:pStyle w:val="BodyTextCustom"/>
        <w:spacing w:before="0" w:after="80" w:line="276" w:lineRule="auto"/>
      </w:pPr>
      <w:r>
        <w:t>A recomendacao e aprovar a fase de implantacao do MVP com capital suficiente para desenvolvimento, conteudo, marketing e operacao inicial, evitando subfinanciamento. Entrar antes do pico de interesse de 2026 e o principal movimento estrategico para capturar autoridade, audiencia e parceiros.</w:t>
      </w:r>
    </w:p>
    <w:p>
      <w:pPr>
        <w:spacing w:before="160" w:after="40" w:line="276" w:lineRule="auto"/>
        <w:jc w:val="center"/>
      </w:pPr>
      <w:r>
        <w:rPr>
          <w:rFonts w:ascii="Arial" w:hAnsi="Arial"/>
          <w:b/>
          <w:color w:val="0A1B2A"/>
          <w:sz w:val="24"/>
        </w:rPr>
        <w:t>A rota e feita de asfalto, mas a vantagem competitiva deste projeto esta em conectar e valorizar pessoas, cidades e oportunidades.</w:t>
      </w:r>
    </w:p>
    <w:p>
      <w:pPr>
        <w:spacing w:before="200" w:after="0" w:line="276" w:lineRule="auto"/>
        <w:jc w:val="left"/>
      </w:pPr>
      <w:r>
        <w:rPr>
          <w:rFonts w:ascii="Arial" w:hAnsi="Arial"/>
          <w:i/>
          <w:color w:val="666666"/>
          <w:sz w:val="19"/>
        </w:rPr>
        <w:t>Nota metodologica: todos os valores apresentados neste documento sao estimativas de planejamento (Rough Order of Magnitude - ROM) e devem ser refinados na fase de discovery tecnico-comercial e contratacao do escopo final.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7"/>
      </w:rPr>
      <w:t xml:space="preserve">Pagina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7"/>
      </w:rPr>
      <w:t>Plano de Produto | Portal da Rota Bioceanica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47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1B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 Text Custom"/>
    <w:basedOn w:val="Normal"/>
    <w:rPr>
      <w:rFonts w:ascii="Arial" w:hAnsi="Arial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Produto - Portal da Rota Bioceanica</dc:title>
  <dc:subject>Documento executivo completo em Word</dc:subject>
  <dc:creator>OpenAI</dc:creator>
  <cp:keywords/>
  <dc:description>Plano executivo com capa, indice, secoes detalhadas, cronograma, financeiro e proximos passos.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