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BD13E" w14:textId="77777777" w:rsidR="005E2E6A" w:rsidRPr="005E2E6A" w:rsidRDefault="005E2E6A" w:rsidP="005E2E6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E2E6A">
        <w:rPr>
          <w:rFonts w:ascii="Times New Roman" w:eastAsia="Times New Roman" w:hAnsi="Times New Roman" w:cs="Times New Roman"/>
          <w:b/>
          <w:bCs/>
          <w:kern w:val="36"/>
          <w:sz w:val="48"/>
          <w:szCs w:val="48"/>
          <w:lang w:eastAsia="en-GB"/>
          <w14:ligatures w14:val="none"/>
        </w:rPr>
        <w:t>What Happens If Your UK Sponsor Licence Is Suspended?</w:t>
      </w:r>
    </w:p>
    <w:p w14:paraId="63B713E8"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b/>
          <w:bCs/>
          <w:kern w:val="0"/>
          <w:lang w:eastAsia="en-GB"/>
          <w14:ligatures w14:val="none"/>
        </w:rPr>
        <w:t>Meta Title:</w:t>
      </w:r>
      <w:r w:rsidRPr="005E2E6A">
        <w:rPr>
          <w:rFonts w:ascii="Times New Roman" w:eastAsia="Times New Roman" w:hAnsi="Times New Roman" w:cs="Times New Roman"/>
          <w:kern w:val="0"/>
          <w:lang w:eastAsia="en-GB"/>
          <w14:ligatures w14:val="none"/>
        </w:rPr>
        <w:t xml:space="preserve"> UK Sponsor Licence Suspended? What Happens Next for Employers | </w:t>
      </w:r>
      <w:proofErr w:type="spellStart"/>
      <w:r w:rsidRPr="005E2E6A">
        <w:rPr>
          <w:rFonts w:ascii="Times New Roman" w:eastAsia="Times New Roman" w:hAnsi="Times New Roman" w:cs="Times New Roman"/>
          <w:kern w:val="0"/>
          <w:lang w:eastAsia="en-GB"/>
          <w14:ligatures w14:val="none"/>
        </w:rPr>
        <w:t>SoftHire</w:t>
      </w:r>
      <w:proofErr w:type="spellEnd"/>
    </w:p>
    <w:p w14:paraId="0183AA10"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b/>
          <w:bCs/>
          <w:kern w:val="0"/>
          <w:lang w:eastAsia="en-GB"/>
          <w14:ligatures w14:val="none"/>
        </w:rPr>
        <w:t>Meta Description:</w:t>
      </w:r>
      <w:r w:rsidRPr="005E2E6A">
        <w:rPr>
          <w:rFonts w:ascii="Times New Roman" w:eastAsia="Times New Roman" w:hAnsi="Times New Roman" w:cs="Times New Roman"/>
          <w:kern w:val="0"/>
          <w:lang w:eastAsia="en-GB"/>
          <w14:ligatures w14:val="none"/>
        </w:rPr>
        <w:t xml:space="preserve"> Your sponsor licence has been suspended — here's what it means, what's at stake, and the response framework that actually matters. A practitioner guide for UK employers.</w:t>
      </w:r>
    </w:p>
    <w:p w14:paraId="331FE82D"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b/>
          <w:bCs/>
          <w:kern w:val="0"/>
          <w:lang w:eastAsia="en-GB"/>
          <w14:ligatures w14:val="none"/>
        </w:rPr>
        <w:t>URL Slug:</w:t>
      </w:r>
      <w:r w:rsidRPr="005E2E6A">
        <w:rPr>
          <w:rFonts w:ascii="Times New Roman" w:eastAsia="Times New Roman" w:hAnsi="Times New Roman" w:cs="Times New Roman"/>
          <w:kern w:val="0"/>
          <w:lang w:eastAsia="en-GB"/>
          <w14:ligatures w14:val="none"/>
        </w:rPr>
        <w:t xml:space="preserve"> /blog/sponsor-licence-suspended-what-happens</w:t>
      </w:r>
    </w:p>
    <w:p w14:paraId="6A1AE14F" w14:textId="77777777" w:rsidR="005E2E6A" w:rsidRPr="005E2E6A" w:rsidRDefault="00087E7B" w:rsidP="005E2E6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ADDDB42">
          <v:rect id="_x0000_i1026" alt="" style="width:451.3pt;height:.05pt;mso-width-percent:0;mso-height-percent:0;mso-width-percent:0;mso-height-percent:0" o:hralign="center" o:hrstd="t" o:hr="t" fillcolor="#a0a0a0" stroked="f"/>
        </w:pict>
      </w:r>
    </w:p>
    <w:p w14:paraId="24428CAC" w14:textId="77777777" w:rsidR="005E2E6A" w:rsidRPr="005E2E6A" w:rsidRDefault="005E2E6A" w:rsidP="005E2E6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2E6A">
        <w:rPr>
          <w:rFonts w:ascii="Times New Roman" w:eastAsia="Times New Roman" w:hAnsi="Times New Roman" w:cs="Times New Roman"/>
          <w:b/>
          <w:bCs/>
          <w:kern w:val="0"/>
          <w:sz w:val="36"/>
          <w:szCs w:val="36"/>
          <w:lang w:eastAsia="en-GB"/>
          <w14:ligatures w14:val="none"/>
        </w:rPr>
        <w:t>What Happens If Your UK Sponsor Licence Is Suspended?</w:t>
      </w:r>
    </w:p>
    <w:p w14:paraId="281B731C"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A sponsor licence suspension doesn't mean your sponsorship arrangements are over. But the way you respond in the days that follow will largely determine whether they survive.</w:t>
      </w:r>
    </w:p>
    <w:p w14:paraId="401BBDBB"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Most employers who receive a suspension notice react in one of two ways: panic, or dismissal. Both are wrong. Suspension is an investigative measure — the Home Office has identified compliance concerns and wants to look more closely before deciding what happens next. That makes it serious. It also makes it recoverable — provided the response is structured, evidence-led, and fast.</w:t>
      </w:r>
    </w:p>
    <w:p w14:paraId="034A907F"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This guide explains what suspension means in practice, what triggers it, what it costs, and — critically — what to do in the first 48 hours.</w:t>
      </w:r>
    </w:p>
    <w:p w14:paraId="5E95F848" w14:textId="77777777" w:rsidR="005E2E6A" w:rsidRPr="005E2E6A" w:rsidRDefault="005E2E6A" w:rsidP="005E2E6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2E6A">
        <w:rPr>
          <w:rFonts w:ascii="Times New Roman" w:eastAsia="Times New Roman" w:hAnsi="Times New Roman" w:cs="Times New Roman"/>
          <w:b/>
          <w:bCs/>
          <w:kern w:val="0"/>
          <w:sz w:val="36"/>
          <w:szCs w:val="36"/>
          <w:lang w:eastAsia="en-GB"/>
          <w14:ligatures w14:val="none"/>
        </w:rPr>
        <w:t>What Does Sponsor Licence Suspension Actually Mean?</w:t>
      </w:r>
    </w:p>
    <w:p w14:paraId="3A62B913"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Suspension means the Home Office has temporarily paused your sponsorship permissions while it investigates compliance concerns.</w:t>
      </w:r>
    </w:p>
    <w:p w14:paraId="7862F35A"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You remain a licence holder in a technical sense. But your ability to use the licence is frozen. In practice, you will be unable to:</w:t>
      </w:r>
    </w:p>
    <w:p w14:paraId="071EC1A7" w14:textId="77777777" w:rsidR="005E2E6A" w:rsidRPr="005E2E6A" w:rsidRDefault="005E2E6A" w:rsidP="005E2E6A">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Assign new Certificates of Sponsorship (</w:t>
      </w:r>
      <w:proofErr w:type="spellStart"/>
      <w:r w:rsidRPr="005E2E6A">
        <w:rPr>
          <w:rFonts w:ascii="Times New Roman" w:eastAsia="Times New Roman" w:hAnsi="Times New Roman" w:cs="Times New Roman"/>
          <w:kern w:val="0"/>
          <w:lang w:eastAsia="en-GB"/>
          <w14:ligatures w14:val="none"/>
        </w:rPr>
        <w:t>CoS</w:t>
      </w:r>
      <w:proofErr w:type="spellEnd"/>
      <w:r w:rsidRPr="005E2E6A">
        <w:rPr>
          <w:rFonts w:ascii="Times New Roman" w:eastAsia="Times New Roman" w:hAnsi="Times New Roman" w:cs="Times New Roman"/>
          <w:kern w:val="0"/>
          <w:lang w:eastAsia="en-GB"/>
          <w14:ligatures w14:val="none"/>
        </w:rPr>
        <w:t>)</w:t>
      </w:r>
    </w:p>
    <w:p w14:paraId="41F7E42E" w14:textId="77777777" w:rsidR="005E2E6A" w:rsidRPr="005E2E6A" w:rsidRDefault="005E2E6A" w:rsidP="005E2E6A">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Sponsor new overseas workers</w:t>
      </w:r>
    </w:p>
    <w:p w14:paraId="5DF9A19C" w14:textId="77777777" w:rsidR="005E2E6A" w:rsidRPr="005E2E6A" w:rsidRDefault="005E2E6A" w:rsidP="005E2E6A">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Progress any sponsorship-based recruitment</w:t>
      </w:r>
    </w:p>
    <w:p w14:paraId="4CB9C2E6"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This is not the same as revocation. The distinction is critical. Suspension is investigative and temporary. Revocation is a final enforcement outcome — the permanent removal of your ability to sponsor workers. Suspension can be resolved. Revocation, in most cases, cannot.</w:t>
      </w:r>
    </w:p>
    <w:p w14:paraId="0D76DA9C" w14:textId="77777777" w:rsidR="005E2E6A" w:rsidRPr="005E2E6A" w:rsidRDefault="005E2E6A" w:rsidP="005E2E6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2E6A">
        <w:rPr>
          <w:rFonts w:ascii="Times New Roman" w:eastAsia="Times New Roman" w:hAnsi="Times New Roman" w:cs="Times New Roman"/>
          <w:b/>
          <w:bCs/>
          <w:kern w:val="0"/>
          <w:sz w:val="36"/>
          <w:szCs w:val="36"/>
          <w:lang w:eastAsia="en-GB"/>
          <w14:ligatures w14:val="none"/>
        </w:rPr>
        <w:t>Why Licences Get Suspended</w:t>
      </w:r>
    </w:p>
    <w:p w14:paraId="23AD391D"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lastRenderedPageBreak/>
        <w:t>The triggers are well-established. But the pattern behind most suspensions is less obvious than employers expect.</w:t>
      </w:r>
    </w:p>
    <w:p w14:paraId="4774C7FB" w14:textId="77777777" w:rsidR="005E2E6A" w:rsidRPr="005E2E6A" w:rsidRDefault="005E2E6A" w:rsidP="005E2E6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2E6A">
        <w:rPr>
          <w:rFonts w:ascii="Times New Roman" w:eastAsia="Times New Roman" w:hAnsi="Times New Roman" w:cs="Times New Roman"/>
          <w:b/>
          <w:bCs/>
          <w:kern w:val="0"/>
          <w:sz w:val="27"/>
          <w:szCs w:val="27"/>
          <w:lang w:eastAsia="en-GB"/>
          <w14:ligatures w14:val="none"/>
        </w:rPr>
        <w:t>Sponsor Duty Failures</w:t>
      </w:r>
    </w:p>
    <w:p w14:paraId="6628B5BB"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Licensed sponsors carry a range of ongoing obligations: record-keeping, reporting, right to work compliance, and monitoring responsibilities for every sponsored worker.</w:t>
      </w:r>
    </w:p>
    <w:p w14:paraId="42D0C710"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Common failures include:</w:t>
      </w:r>
    </w:p>
    <w:p w14:paraId="5E717B84" w14:textId="77777777" w:rsidR="005E2E6A" w:rsidRPr="005E2E6A" w:rsidRDefault="005E2E6A" w:rsidP="005E2E6A">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Not reporting a sponsored employee's resignation, dismissal, or prolonged unauthorised absence</w:t>
      </w:r>
    </w:p>
    <w:p w14:paraId="429C5477" w14:textId="77777777" w:rsidR="005E2E6A" w:rsidRPr="005E2E6A" w:rsidRDefault="005E2E6A" w:rsidP="005E2E6A">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Failing to notify significant salary changes</w:t>
      </w:r>
    </w:p>
    <w:p w14:paraId="02612716" w14:textId="77777777" w:rsidR="005E2E6A" w:rsidRPr="005E2E6A" w:rsidRDefault="005E2E6A" w:rsidP="005E2E6A">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Incomplete or inaccessible employee records</w:t>
      </w:r>
    </w:p>
    <w:p w14:paraId="64251FE7" w14:textId="77777777" w:rsidR="005E2E6A" w:rsidRPr="005E2E6A" w:rsidRDefault="005E2E6A" w:rsidP="005E2E6A">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Weak right to work documentation</w:t>
      </w:r>
    </w:p>
    <w:p w14:paraId="7F45C180" w14:textId="77777777" w:rsidR="005E2E6A" w:rsidRPr="005E2E6A" w:rsidRDefault="005E2E6A" w:rsidP="005E2E6A">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Outdated sponsor management system (SMS) information</w:t>
      </w:r>
    </w:p>
    <w:p w14:paraId="321D4183"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A single missed report won't normally trigger suspension. But a pattern of failures — or evidence that nobody in the organisation clearly owns these obligations — will.</w:t>
      </w:r>
    </w:p>
    <w:p w14:paraId="27671BBA" w14:textId="77777777" w:rsidR="005E2E6A" w:rsidRPr="005E2E6A" w:rsidRDefault="005E2E6A" w:rsidP="005E2E6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2E6A">
        <w:rPr>
          <w:rFonts w:ascii="Times New Roman" w:eastAsia="Times New Roman" w:hAnsi="Times New Roman" w:cs="Times New Roman"/>
          <w:b/>
          <w:bCs/>
          <w:kern w:val="0"/>
          <w:sz w:val="27"/>
          <w:szCs w:val="27"/>
          <w:lang w:eastAsia="en-GB"/>
          <w14:ligatures w14:val="none"/>
        </w:rPr>
        <w:t>Genuine Vacancy Concerns</w:t>
      </w:r>
    </w:p>
    <w:p w14:paraId="399F7FF1"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The Home Office expects every sponsored role to be real. The vacancy must reflect a legitimate operational need, with duties and salary that align with the sponsorship basis on which the visa was granted.</w:t>
      </w:r>
    </w:p>
    <w:p w14:paraId="36FC246E"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Red flags include generic or inflated job descriptions, duties that don't match the selected SOC code, salaries inconsistent with the stated role, and evidence that the employee is performing materially different work from what was declared.</w:t>
      </w:r>
    </w:p>
    <w:p w14:paraId="020E6EAD" w14:textId="77777777" w:rsidR="005E2E6A" w:rsidRPr="005E2E6A" w:rsidRDefault="005E2E6A" w:rsidP="005E2E6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2E6A">
        <w:rPr>
          <w:rFonts w:ascii="Times New Roman" w:eastAsia="Times New Roman" w:hAnsi="Times New Roman" w:cs="Times New Roman"/>
          <w:b/>
          <w:bCs/>
          <w:kern w:val="0"/>
          <w:sz w:val="27"/>
          <w:szCs w:val="27"/>
          <w:lang w:eastAsia="en-GB"/>
          <w14:ligatures w14:val="none"/>
        </w:rPr>
        <w:t>Compliance Visit Findings</w:t>
      </w:r>
    </w:p>
    <w:p w14:paraId="7EB886BC"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A significant proportion of suspensions follow a Home Office compliance visit. During these audits, officials will assess HR systems, employee files, reporting history, right to work compliance, and the organisation's general understanding of sponsor duties. They may also interview sponsored workers directly. Where serious deficiencies are found, suspension commonly follows.</w:t>
      </w:r>
    </w:p>
    <w:p w14:paraId="0815DABB" w14:textId="77777777" w:rsidR="005E2E6A" w:rsidRPr="005E2E6A" w:rsidRDefault="005E2E6A" w:rsidP="005E2E6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2E6A">
        <w:rPr>
          <w:rFonts w:ascii="Times New Roman" w:eastAsia="Times New Roman" w:hAnsi="Times New Roman" w:cs="Times New Roman"/>
          <w:b/>
          <w:bCs/>
          <w:kern w:val="0"/>
          <w:sz w:val="27"/>
          <w:szCs w:val="27"/>
          <w:lang w:eastAsia="en-GB"/>
          <w14:ligatures w14:val="none"/>
        </w:rPr>
        <w:t>External Intelligence</w:t>
      </w:r>
    </w:p>
    <w:p w14:paraId="4974E8DD"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 xml:space="preserve">Enforcement can also be triggered by sources outside routine audit activity: allegations of illegal working, </w:t>
      </w:r>
      <w:proofErr w:type="spellStart"/>
      <w:r w:rsidRPr="005E2E6A">
        <w:rPr>
          <w:rFonts w:ascii="Times New Roman" w:eastAsia="Times New Roman" w:hAnsi="Times New Roman" w:cs="Times New Roman"/>
          <w:kern w:val="0"/>
          <w:lang w:eastAsia="en-GB"/>
          <w14:ligatures w14:val="none"/>
        </w:rPr>
        <w:t>whistleblower</w:t>
      </w:r>
      <w:proofErr w:type="spellEnd"/>
      <w:r w:rsidRPr="005E2E6A">
        <w:rPr>
          <w:rFonts w:ascii="Times New Roman" w:eastAsia="Times New Roman" w:hAnsi="Times New Roman" w:cs="Times New Roman"/>
          <w:kern w:val="0"/>
          <w:lang w:eastAsia="en-GB"/>
          <w14:ligatures w14:val="none"/>
        </w:rPr>
        <w:t xml:space="preserve"> reports, payroll inconsistencies, complaints from employees or third parties, or broader intelligence regarding potential sponsorship abuse. The Home Office does not need to prove misconduct before suspending a licence — suspension is often used precisely to create the space for further investigation.</w:t>
      </w:r>
    </w:p>
    <w:p w14:paraId="25163137" w14:textId="77777777" w:rsidR="005E2E6A" w:rsidRPr="005E2E6A" w:rsidRDefault="005E2E6A" w:rsidP="005E2E6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2E6A">
        <w:rPr>
          <w:rFonts w:ascii="Times New Roman" w:eastAsia="Times New Roman" w:hAnsi="Times New Roman" w:cs="Times New Roman"/>
          <w:b/>
          <w:bCs/>
          <w:kern w:val="0"/>
          <w:sz w:val="36"/>
          <w:szCs w:val="36"/>
          <w:lang w:eastAsia="en-GB"/>
          <w14:ligatures w14:val="none"/>
        </w:rPr>
        <w:t>The First 48 Hours: What To Do Immediately</w:t>
      </w:r>
    </w:p>
    <w:p w14:paraId="5F6AD708"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lastRenderedPageBreak/>
        <w:t>This is where most employers either set themselves up for recovery or make the situation materially worse.</w:t>
      </w:r>
    </w:p>
    <w:p w14:paraId="20C835C2" w14:textId="77777777" w:rsidR="005E2E6A" w:rsidRPr="005E2E6A" w:rsidRDefault="005E2E6A" w:rsidP="005E2E6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2E6A">
        <w:rPr>
          <w:rFonts w:ascii="Times New Roman" w:eastAsia="Times New Roman" w:hAnsi="Times New Roman" w:cs="Times New Roman"/>
          <w:b/>
          <w:bCs/>
          <w:kern w:val="0"/>
          <w:sz w:val="27"/>
          <w:szCs w:val="27"/>
          <w:lang w:eastAsia="en-GB"/>
          <w14:ligatures w14:val="none"/>
        </w:rPr>
        <w:t>1. Read the Suspension Notice in Full — Twice</w:t>
      </w:r>
    </w:p>
    <w:p w14:paraId="3BC323E0"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The suspension notice is not a generic warning. It sets out specific concerns, the evidence or allegations being relied upon, and a deadline for your response. It defines the scope of the compliance dispute. Treat it as a legal document, not an administrative letter.</w:t>
      </w:r>
    </w:p>
    <w:p w14:paraId="48441E64" w14:textId="77777777" w:rsidR="005E2E6A" w:rsidRPr="005E2E6A" w:rsidRDefault="005E2E6A" w:rsidP="005E2E6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2E6A">
        <w:rPr>
          <w:rFonts w:ascii="Times New Roman" w:eastAsia="Times New Roman" w:hAnsi="Times New Roman" w:cs="Times New Roman"/>
          <w:b/>
          <w:bCs/>
          <w:kern w:val="0"/>
          <w:sz w:val="27"/>
          <w:szCs w:val="27"/>
          <w:lang w:eastAsia="en-GB"/>
          <w14:ligatures w14:val="none"/>
        </w:rPr>
        <w:t>2. Lock Down Your Compliance Records</w:t>
      </w:r>
    </w:p>
    <w:p w14:paraId="784ED03F"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Before you respond to anything, secure your current position. Pull together sponsored worker files, SMS records, reporting logs, right to work documentation, payroll records, and employment contracts. You need to know the actual state of your compliance — not what you assume it to be.</w:t>
      </w:r>
    </w:p>
    <w:p w14:paraId="0297ECA3" w14:textId="77777777" w:rsidR="005E2E6A" w:rsidRPr="005E2E6A" w:rsidRDefault="005E2E6A" w:rsidP="005E2E6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2E6A">
        <w:rPr>
          <w:rFonts w:ascii="Times New Roman" w:eastAsia="Times New Roman" w:hAnsi="Times New Roman" w:cs="Times New Roman"/>
          <w:b/>
          <w:bCs/>
          <w:kern w:val="0"/>
          <w:sz w:val="27"/>
          <w:szCs w:val="27"/>
          <w:lang w:eastAsia="en-GB"/>
          <w14:ligatures w14:val="none"/>
        </w:rPr>
        <w:t>3. Establish Who Owns the Response</w:t>
      </w:r>
    </w:p>
    <w:p w14:paraId="195DE47C"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This is not an HR-only problem. Effective responses typically require input from HR, operations, finance (for payroll consistency), and whoever manages day-to-day sponsor licence administration. Assign a single point of ownership for coordinating the response.</w:t>
      </w:r>
    </w:p>
    <w:p w14:paraId="42133686" w14:textId="77777777" w:rsidR="005E2E6A" w:rsidRPr="005E2E6A" w:rsidRDefault="005E2E6A" w:rsidP="005E2E6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2E6A">
        <w:rPr>
          <w:rFonts w:ascii="Times New Roman" w:eastAsia="Times New Roman" w:hAnsi="Times New Roman" w:cs="Times New Roman"/>
          <w:b/>
          <w:bCs/>
          <w:kern w:val="0"/>
          <w:sz w:val="27"/>
          <w:szCs w:val="27"/>
          <w:lang w:eastAsia="en-GB"/>
          <w14:ligatures w14:val="none"/>
        </w:rPr>
        <w:t>4. Communicate Internally — Carefully</w:t>
      </w:r>
    </w:p>
    <w:p w14:paraId="761F9C7A"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Your sponsored employees will likely hear about the suspension. If you don't communicate proactively, anxiety and rumour will fill the gap. Be factual: explain that the licence is under review, that their employment and existing visa status are not immediately affected, and that you will keep them informed. Do not speculate on outcomes.</w:t>
      </w:r>
    </w:p>
    <w:p w14:paraId="35C2E071" w14:textId="77777777" w:rsidR="005E2E6A" w:rsidRPr="005E2E6A" w:rsidRDefault="005E2E6A" w:rsidP="005E2E6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2E6A">
        <w:rPr>
          <w:rFonts w:ascii="Times New Roman" w:eastAsia="Times New Roman" w:hAnsi="Times New Roman" w:cs="Times New Roman"/>
          <w:b/>
          <w:bCs/>
          <w:kern w:val="0"/>
          <w:sz w:val="27"/>
          <w:szCs w:val="27"/>
          <w:lang w:eastAsia="en-GB"/>
          <w14:ligatures w14:val="none"/>
        </w:rPr>
        <w:t>5. Assess Whether You Need External Support</w:t>
      </w:r>
    </w:p>
    <w:p w14:paraId="10292D17"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Not every suspension requires external legal advice. But if the allegations are serious, if you're unsure about the strength of your compliance position, or if the response deadline is tight, this is not the time to economise. The cost of a strong response is a fraction of the cost of revocation.</w:t>
      </w:r>
    </w:p>
    <w:p w14:paraId="16B37D43" w14:textId="77777777" w:rsidR="005E2E6A" w:rsidRPr="005E2E6A" w:rsidRDefault="005E2E6A" w:rsidP="005E2E6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2E6A">
        <w:rPr>
          <w:rFonts w:ascii="Times New Roman" w:eastAsia="Times New Roman" w:hAnsi="Times New Roman" w:cs="Times New Roman"/>
          <w:b/>
          <w:bCs/>
          <w:kern w:val="0"/>
          <w:sz w:val="36"/>
          <w:szCs w:val="36"/>
          <w:lang w:eastAsia="en-GB"/>
          <w14:ligatures w14:val="none"/>
        </w:rPr>
        <w:t>What Happens to Your Operations During Suspension</w:t>
      </w:r>
    </w:p>
    <w:p w14:paraId="7ED925C3" w14:textId="77777777" w:rsidR="005E2E6A" w:rsidRPr="005E2E6A" w:rsidRDefault="005E2E6A" w:rsidP="005E2E6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2E6A">
        <w:rPr>
          <w:rFonts w:ascii="Times New Roman" w:eastAsia="Times New Roman" w:hAnsi="Times New Roman" w:cs="Times New Roman"/>
          <w:b/>
          <w:bCs/>
          <w:kern w:val="0"/>
          <w:sz w:val="27"/>
          <w:szCs w:val="27"/>
          <w:lang w:eastAsia="en-GB"/>
          <w14:ligatures w14:val="none"/>
        </w:rPr>
        <w:t>Recruitment Freezes</w:t>
      </w:r>
    </w:p>
    <w:p w14:paraId="6B8AB368"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 xml:space="preserve">The most immediate commercial impact is the inability to assign new </w:t>
      </w:r>
      <w:proofErr w:type="spellStart"/>
      <w:r w:rsidRPr="005E2E6A">
        <w:rPr>
          <w:rFonts w:ascii="Times New Roman" w:eastAsia="Times New Roman" w:hAnsi="Times New Roman" w:cs="Times New Roman"/>
          <w:kern w:val="0"/>
          <w:lang w:eastAsia="en-GB"/>
          <w14:ligatures w14:val="none"/>
        </w:rPr>
        <w:t>CoS.</w:t>
      </w:r>
      <w:proofErr w:type="spellEnd"/>
      <w:r w:rsidRPr="005E2E6A">
        <w:rPr>
          <w:rFonts w:ascii="Times New Roman" w:eastAsia="Times New Roman" w:hAnsi="Times New Roman" w:cs="Times New Roman"/>
          <w:kern w:val="0"/>
          <w:lang w:eastAsia="en-GB"/>
          <w14:ligatures w14:val="none"/>
        </w:rPr>
        <w:t xml:space="preserve"> For employers actively recruiting internationally — particularly in sectors like care, engineering, healthcare, technology, and hospitality — this creates a hard stop on pipeline activity. Offers conditional on sponsorship cannot be progressed. Candidates may withdraw. Recruitment timelines slip.</w:t>
      </w:r>
    </w:p>
    <w:p w14:paraId="43118981" w14:textId="77777777" w:rsidR="005E2E6A" w:rsidRPr="005E2E6A" w:rsidRDefault="005E2E6A" w:rsidP="005E2E6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2E6A">
        <w:rPr>
          <w:rFonts w:ascii="Times New Roman" w:eastAsia="Times New Roman" w:hAnsi="Times New Roman" w:cs="Times New Roman"/>
          <w:b/>
          <w:bCs/>
          <w:kern w:val="0"/>
          <w:sz w:val="27"/>
          <w:szCs w:val="27"/>
          <w:lang w:eastAsia="en-GB"/>
          <w14:ligatures w14:val="none"/>
        </w:rPr>
        <w:t>Existing Sponsored Workers</w:t>
      </w:r>
    </w:p>
    <w:p w14:paraId="12D4E2EC"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lastRenderedPageBreak/>
        <w:t>Current sponsored employees can generally continue working during the investigation. Their immigration status does not automatically become invalid because the employer's licence has been suspended.</w:t>
      </w:r>
    </w:p>
    <w:p w14:paraId="0C122F09"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However, the position is not entirely stable. Issues can arise where visa extensions are approaching, role changes require sponsorship action, or the suspension later escalates into revocation. For workers on time-limited visas, the uncertainty is real.</w:t>
      </w:r>
    </w:p>
    <w:p w14:paraId="30A321B2" w14:textId="77777777" w:rsidR="005E2E6A" w:rsidRPr="005E2E6A" w:rsidRDefault="005E2E6A" w:rsidP="005E2E6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2E6A">
        <w:rPr>
          <w:rFonts w:ascii="Times New Roman" w:eastAsia="Times New Roman" w:hAnsi="Times New Roman" w:cs="Times New Roman"/>
          <w:b/>
          <w:bCs/>
          <w:kern w:val="0"/>
          <w:sz w:val="27"/>
          <w:szCs w:val="27"/>
          <w:lang w:eastAsia="en-GB"/>
          <w14:ligatures w14:val="none"/>
        </w:rPr>
        <w:t>The Cost Dimension</w:t>
      </w:r>
    </w:p>
    <w:p w14:paraId="7D5070B1"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Employers tend to underestimate the financial exposure. Suspension costs compound quickly:</w:t>
      </w:r>
    </w:p>
    <w:p w14:paraId="12003E00" w14:textId="77777777" w:rsidR="005E2E6A" w:rsidRPr="005E2E6A" w:rsidRDefault="005E2E6A" w:rsidP="005E2E6A">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b/>
          <w:bCs/>
          <w:kern w:val="0"/>
          <w:lang w:eastAsia="en-GB"/>
          <w14:ligatures w14:val="none"/>
        </w:rPr>
        <w:t>Legal and advisory fees</w:t>
      </w:r>
      <w:r w:rsidRPr="005E2E6A">
        <w:rPr>
          <w:rFonts w:ascii="Times New Roman" w:eastAsia="Times New Roman" w:hAnsi="Times New Roman" w:cs="Times New Roman"/>
          <w:kern w:val="0"/>
          <w:lang w:eastAsia="en-GB"/>
          <w14:ligatures w14:val="none"/>
        </w:rPr>
        <w:t xml:space="preserve"> for preparing the compliance response</w:t>
      </w:r>
    </w:p>
    <w:p w14:paraId="2E5737AE" w14:textId="77777777" w:rsidR="005E2E6A" w:rsidRPr="005E2E6A" w:rsidRDefault="005E2E6A" w:rsidP="005E2E6A">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b/>
          <w:bCs/>
          <w:kern w:val="0"/>
          <w:lang w:eastAsia="en-GB"/>
          <w14:ligatures w14:val="none"/>
        </w:rPr>
        <w:t>Recruitment delay costs</w:t>
      </w:r>
      <w:r w:rsidRPr="005E2E6A">
        <w:rPr>
          <w:rFonts w:ascii="Times New Roman" w:eastAsia="Times New Roman" w:hAnsi="Times New Roman" w:cs="Times New Roman"/>
          <w:kern w:val="0"/>
          <w:lang w:eastAsia="en-GB"/>
          <w14:ligatures w14:val="none"/>
        </w:rPr>
        <w:t xml:space="preserve"> — stalled hires against critical vacancies, agency fees for interim cover, lost productivity</w:t>
      </w:r>
    </w:p>
    <w:p w14:paraId="62FFD218" w14:textId="77777777" w:rsidR="005E2E6A" w:rsidRPr="005E2E6A" w:rsidRDefault="005E2E6A" w:rsidP="005E2E6A">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5E2E6A">
        <w:rPr>
          <w:rFonts w:ascii="Times New Roman" w:eastAsia="Times New Roman" w:hAnsi="Times New Roman" w:cs="Times New Roman"/>
          <w:b/>
          <w:bCs/>
          <w:kern w:val="0"/>
          <w:lang w:eastAsia="en-GB"/>
          <w14:ligatures w14:val="none"/>
        </w:rPr>
        <w:t>CoS</w:t>
      </w:r>
      <w:proofErr w:type="spellEnd"/>
      <w:r w:rsidRPr="005E2E6A">
        <w:rPr>
          <w:rFonts w:ascii="Times New Roman" w:eastAsia="Times New Roman" w:hAnsi="Times New Roman" w:cs="Times New Roman"/>
          <w:b/>
          <w:bCs/>
          <w:kern w:val="0"/>
          <w:lang w:eastAsia="en-GB"/>
          <w14:ligatures w14:val="none"/>
        </w:rPr>
        <w:t xml:space="preserve"> wastage</w:t>
      </w:r>
      <w:r w:rsidRPr="005E2E6A">
        <w:rPr>
          <w:rFonts w:ascii="Times New Roman" w:eastAsia="Times New Roman" w:hAnsi="Times New Roman" w:cs="Times New Roman"/>
          <w:kern w:val="0"/>
          <w:lang w:eastAsia="en-GB"/>
          <w14:ligatures w14:val="none"/>
        </w:rPr>
        <w:t xml:space="preserve"> — allocated certificates that cannot be actioned</w:t>
      </w:r>
    </w:p>
    <w:p w14:paraId="0B2BD24A" w14:textId="77777777" w:rsidR="005E2E6A" w:rsidRPr="005E2E6A" w:rsidRDefault="005E2E6A" w:rsidP="005E2E6A">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b/>
          <w:bCs/>
          <w:kern w:val="0"/>
          <w:lang w:eastAsia="en-GB"/>
          <w14:ligatures w14:val="none"/>
        </w:rPr>
        <w:t>Retention risk</w:t>
      </w:r>
      <w:r w:rsidRPr="005E2E6A">
        <w:rPr>
          <w:rFonts w:ascii="Times New Roman" w:eastAsia="Times New Roman" w:hAnsi="Times New Roman" w:cs="Times New Roman"/>
          <w:kern w:val="0"/>
          <w:lang w:eastAsia="en-GB"/>
          <w14:ligatures w14:val="none"/>
        </w:rPr>
        <w:t xml:space="preserve"> — sponsored workers who begin exploring alternative employers as a hedge against revocation</w:t>
      </w:r>
    </w:p>
    <w:p w14:paraId="2B2F261E" w14:textId="77777777" w:rsidR="005E2E6A" w:rsidRPr="005E2E6A" w:rsidRDefault="005E2E6A" w:rsidP="005E2E6A">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b/>
          <w:bCs/>
          <w:kern w:val="0"/>
          <w:lang w:eastAsia="en-GB"/>
          <w14:ligatures w14:val="none"/>
        </w:rPr>
        <w:t>Internal resource diversion</w:t>
      </w:r>
      <w:r w:rsidRPr="005E2E6A">
        <w:rPr>
          <w:rFonts w:ascii="Times New Roman" w:eastAsia="Times New Roman" w:hAnsi="Times New Roman" w:cs="Times New Roman"/>
          <w:kern w:val="0"/>
          <w:lang w:eastAsia="en-GB"/>
          <w14:ligatures w14:val="none"/>
        </w:rPr>
        <w:t xml:space="preserve"> — senior HR, legal, and leadership time redirected to managing the response</w:t>
      </w:r>
    </w:p>
    <w:p w14:paraId="4AD62071"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For mid-sized employers, the total cost of a suspension — even one that is successfully resolved — can run well into five figures.</w:t>
      </w:r>
    </w:p>
    <w:p w14:paraId="13A77D33" w14:textId="77777777" w:rsidR="005E2E6A" w:rsidRPr="005E2E6A" w:rsidRDefault="005E2E6A" w:rsidP="005E2E6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2E6A">
        <w:rPr>
          <w:rFonts w:ascii="Times New Roman" w:eastAsia="Times New Roman" w:hAnsi="Times New Roman" w:cs="Times New Roman"/>
          <w:b/>
          <w:bCs/>
          <w:kern w:val="0"/>
          <w:sz w:val="27"/>
          <w:szCs w:val="27"/>
          <w:lang w:eastAsia="en-GB"/>
          <w14:ligatures w14:val="none"/>
        </w:rPr>
        <w:t>Duration and Uncertainty</w:t>
      </w:r>
    </w:p>
    <w:p w14:paraId="1B7AC175"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There is no fixed statutory timeframe. Duration depends on the seriousness of the concerns, the quality of the employer's response, whether additional investigation or site visits are required, and Home Office operational capacity. Some suspensions resolve within weeks. Others extend for months. The uncertainty itself creates operational strain that compounds over time.</w:t>
      </w:r>
    </w:p>
    <w:p w14:paraId="4F5C5442" w14:textId="77777777" w:rsidR="005E2E6A" w:rsidRPr="005E2E6A" w:rsidRDefault="005E2E6A" w:rsidP="005E2E6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2E6A">
        <w:rPr>
          <w:rFonts w:ascii="Times New Roman" w:eastAsia="Times New Roman" w:hAnsi="Times New Roman" w:cs="Times New Roman"/>
          <w:b/>
          <w:bCs/>
          <w:kern w:val="0"/>
          <w:sz w:val="36"/>
          <w:szCs w:val="36"/>
          <w:lang w:eastAsia="en-GB"/>
          <w14:ligatures w14:val="none"/>
        </w:rPr>
        <w:t>Possible Outcomes</w:t>
      </w:r>
    </w:p>
    <w:p w14:paraId="24194F01" w14:textId="77777777" w:rsidR="005E2E6A" w:rsidRPr="005E2E6A" w:rsidRDefault="005E2E6A" w:rsidP="005E2E6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2E6A">
        <w:rPr>
          <w:rFonts w:ascii="Times New Roman" w:eastAsia="Times New Roman" w:hAnsi="Times New Roman" w:cs="Times New Roman"/>
          <w:b/>
          <w:bCs/>
          <w:kern w:val="0"/>
          <w:sz w:val="27"/>
          <w:szCs w:val="27"/>
          <w:lang w:eastAsia="en-GB"/>
          <w14:ligatures w14:val="none"/>
        </w:rPr>
        <w:t>Suspension Lifted</w:t>
      </w:r>
    </w:p>
    <w:p w14:paraId="79F8A9D5"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Where the Home Office is satisfied with the employer's explanation and remediation, the licence is reinstated. Normal sponsorship permissions resume. This is the target outcome for every employer in this position.</w:t>
      </w:r>
    </w:p>
    <w:p w14:paraId="539853BA" w14:textId="77777777" w:rsidR="005E2E6A" w:rsidRPr="005E2E6A" w:rsidRDefault="005E2E6A" w:rsidP="005E2E6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2E6A">
        <w:rPr>
          <w:rFonts w:ascii="Times New Roman" w:eastAsia="Times New Roman" w:hAnsi="Times New Roman" w:cs="Times New Roman"/>
          <w:b/>
          <w:bCs/>
          <w:kern w:val="0"/>
          <w:sz w:val="27"/>
          <w:szCs w:val="27"/>
          <w:lang w:eastAsia="en-GB"/>
          <w14:ligatures w14:val="none"/>
        </w:rPr>
        <w:t>Licence Downgraded</w:t>
      </w:r>
    </w:p>
    <w:p w14:paraId="15D0F072"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The Home Office may conclude that compliance concerns exist but don't justify full revocation. This can result in a downgrade from A-rating to B-rating, or other remedial measures. Disruptive, but survivable.</w:t>
      </w:r>
    </w:p>
    <w:p w14:paraId="0BA51225" w14:textId="77777777" w:rsidR="005E2E6A" w:rsidRPr="005E2E6A" w:rsidRDefault="005E2E6A" w:rsidP="005E2E6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2E6A">
        <w:rPr>
          <w:rFonts w:ascii="Times New Roman" w:eastAsia="Times New Roman" w:hAnsi="Times New Roman" w:cs="Times New Roman"/>
          <w:b/>
          <w:bCs/>
          <w:kern w:val="0"/>
          <w:sz w:val="27"/>
          <w:szCs w:val="27"/>
          <w:lang w:eastAsia="en-GB"/>
          <w14:ligatures w14:val="none"/>
        </w:rPr>
        <w:t>Sponsor Licence Revoked</w:t>
      </w:r>
    </w:p>
    <w:p w14:paraId="56B5C8EB"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lastRenderedPageBreak/>
        <w:t>Where the Home Office concludes the organisation cannot be trusted to meet sponsor obligations, revocation follows. This removes sponsorship permission entirely and triggers curtailment proceedings for affected sponsored workers — meaning their permission to remain in the UK may be cut short.</w:t>
      </w:r>
    </w:p>
    <w:p w14:paraId="16E9B10C"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This is the outcome that justifies taking suspension seriously from the first hour.</w:t>
      </w:r>
    </w:p>
    <w:p w14:paraId="1E39CC63" w14:textId="77777777" w:rsidR="005E2E6A" w:rsidRPr="005E2E6A" w:rsidRDefault="005E2E6A" w:rsidP="005E2E6A">
      <w:pPr>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 xml:space="preserve">&lt;!-- Internal link placeholder: [What happens if your sponsor licence is revoked →](/blog/sponsor-licence-revocation-guide) --&gt; </w:t>
      </w:r>
    </w:p>
    <w:p w14:paraId="2A62C031" w14:textId="77777777" w:rsidR="005E2E6A" w:rsidRPr="005E2E6A" w:rsidRDefault="005E2E6A" w:rsidP="005E2E6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2E6A">
        <w:rPr>
          <w:rFonts w:ascii="Times New Roman" w:eastAsia="Times New Roman" w:hAnsi="Times New Roman" w:cs="Times New Roman"/>
          <w:b/>
          <w:bCs/>
          <w:kern w:val="0"/>
          <w:sz w:val="36"/>
          <w:szCs w:val="36"/>
          <w:lang w:eastAsia="en-GB"/>
          <w14:ligatures w14:val="none"/>
        </w:rPr>
        <w:t>Building the Response</w:t>
      </w:r>
    </w:p>
    <w:p w14:paraId="2973E38E"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A good response is not a letter of apology. It is a structured, evidence-led submission that addresses the specific concerns raised and demonstrates that the organisation has both corrected the issues and put systems in place to prevent recurrence.</w:t>
      </w:r>
    </w:p>
    <w:p w14:paraId="5DED8A90" w14:textId="77777777" w:rsidR="005E2E6A" w:rsidRPr="005E2E6A" w:rsidRDefault="005E2E6A" w:rsidP="005E2E6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2E6A">
        <w:rPr>
          <w:rFonts w:ascii="Times New Roman" w:eastAsia="Times New Roman" w:hAnsi="Times New Roman" w:cs="Times New Roman"/>
          <w:b/>
          <w:bCs/>
          <w:kern w:val="0"/>
          <w:sz w:val="27"/>
          <w:szCs w:val="27"/>
          <w:lang w:eastAsia="en-GB"/>
          <w14:ligatures w14:val="none"/>
        </w:rPr>
        <w:t>Address Each Allegation Individually</w:t>
      </w:r>
    </w:p>
    <w:p w14:paraId="7CE99731"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The suspension notice sets out specific concerns. Your response should address each one separately, with evidence. Generic assurances about "commitment to compliance" carry no weight.</w:t>
      </w:r>
    </w:p>
    <w:p w14:paraId="285A2DAF" w14:textId="77777777" w:rsidR="005E2E6A" w:rsidRPr="005E2E6A" w:rsidRDefault="005E2E6A" w:rsidP="005E2E6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2E6A">
        <w:rPr>
          <w:rFonts w:ascii="Times New Roman" w:eastAsia="Times New Roman" w:hAnsi="Times New Roman" w:cs="Times New Roman"/>
          <w:b/>
          <w:bCs/>
          <w:kern w:val="0"/>
          <w:sz w:val="27"/>
          <w:szCs w:val="27"/>
          <w:lang w:eastAsia="en-GB"/>
          <w14:ligatures w14:val="none"/>
        </w:rPr>
        <w:t>Lead With Evidence, Not Narrative</w:t>
      </w:r>
    </w:p>
    <w:p w14:paraId="26976838"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Supporting documentation matters more than explanations. Employment contracts, payroll records, attendance logs, internal reporting records, right to work documentation, and organisational policies all form part of a credible response.</w:t>
      </w:r>
    </w:p>
    <w:p w14:paraId="1985F76D" w14:textId="77777777" w:rsidR="005E2E6A" w:rsidRPr="005E2E6A" w:rsidRDefault="005E2E6A" w:rsidP="005E2E6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2E6A">
        <w:rPr>
          <w:rFonts w:ascii="Times New Roman" w:eastAsia="Times New Roman" w:hAnsi="Times New Roman" w:cs="Times New Roman"/>
          <w:b/>
          <w:bCs/>
          <w:kern w:val="0"/>
          <w:sz w:val="27"/>
          <w:szCs w:val="27"/>
          <w:lang w:eastAsia="en-GB"/>
          <w14:ligatures w14:val="none"/>
        </w:rPr>
        <w:t>Show Remediation, Not Just Denial</w:t>
      </w:r>
    </w:p>
    <w:p w14:paraId="4371C439"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The Home Office expects to see that problems have been corrected. If reporting obligations were missed, show the new process. If records were incomplete, show the updated files. If SMS governance was unclear, show the revised ownership structure. Simply denying concerns is rarely enough.</w:t>
      </w:r>
    </w:p>
    <w:p w14:paraId="7E819E50" w14:textId="77777777" w:rsidR="005E2E6A" w:rsidRPr="005E2E6A" w:rsidRDefault="005E2E6A" w:rsidP="005E2E6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2E6A">
        <w:rPr>
          <w:rFonts w:ascii="Times New Roman" w:eastAsia="Times New Roman" w:hAnsi="Times New Roman" w:cs="Times New Roman"/>
          <w:b/>
          <w:bCs/>
          <w:kern w:val="0"/>
          <w:sz w:val="27"/>
          <w:szCs w:val="27"/>
          <w:lang w:eastAsia="en-GB"/>
          <w14:ligatures w14:val="none"/>
        </w:rPr>
        <w:t>Be Professional and Proportionate</w:t>
      </w:r>
    </w:p>
    <w:p w14:paraId="4DA35A93"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Emotional, vague, or adversarial responses rarely help. The tone should be factual, structured, and focused on demonstrating compliance capability.</w:t>
      </w:r>
    </w:p>
    <w:p w14:paraId="0ED68874" w14:textId="77777777" w:rsidR="005E2E6A" w:rsidRPr="005E2E6A" w:rsidRDefault="005E2E6A" w:rsidP="005E2E6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2E6A">
        <w:rPr>
          <w:rFonts w:ascii="Times New Roman" w:eastAsia="Times New Roman" w:hAnsi="Times New Roman" w:cs="Times New Roman"/>
          <w:b/>
          <w:bCs/>
          <w:kern w:val="0"/>
          <w:sz w:val="36"/>
          <w:szCs w:val="36"/>
          <w:lang w:eastAsia="en-GB"/>
          <w14:ligatures w14:val="none"/>
        </w:rPr>
        <w:t>Reducing Suspension Risk: What Actually Works</w:t>
      </w:r>
    </w:p>
    <w:p w14:paraId="573D95D1"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The most common root cause of sponsor licence problems is not deliberate non-compliance. It is fragmented operational ownership.</w:t>
      </w:r>
    </w:p>
    <w:p w14:paraId="70A95E4C"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 xml:space="preserve">Immigration compliance in most organisations sits awkwardly between HR, operations, finance, and legal — with no single function clearly owning the end-to-end process. </w:t>
      </w:r>
      <w:r w:rsidRPr="005E2E6A">
        <w:rPr>
          <w:rFonts w:ascii="Times New Roman" w:eastAsia="Times New Roman" w:hAnsi="Times New Roman" w:cs="Times New Roman"/>
          <w:kern w:val="0"/>
          <w:lang w:eastAsia="en-GB"/>
          <w14:ligatures w14:val="none"/>
        </w:rPr>
        <w:lastRenderedPageBreak/>
        <w:t>Reporting obligations get missed not because anyone intended to breach them, but because nobody was certain it was their responsibility.</w:t>
      </w:r>
    </w:p>
    <w:p w14:paraId="2C936E9D"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The employers who avoid suspension tend to share a few characteristics:</w:t>
      </w:r>
    </w:p>
    <w:p w14:paraId="2F07512E" w14:textId="77777777" w:rsidR="005E2E6A" w:rsidRPr="005E2E6A" w:rsidRDefault="005E2E6A" w:rsidP="005E2E6A">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b/>
          <w:bCs/>
          <w:kern w:val="0"/>
          <w:lang w:eastAsia="en-GB"/>
          <w14:ligatures w14:val="none"/>
        </w:rPr>
        <w:t>Clear ownership</w:t>
      </w:r>
      <w:r w:rsidRPr="005E2E6A">
        <w:rPr>
          <w:rFonts w:ascii="Times New Roman" w:eastAsia="Times New Roman" w:hAnsi="Times New Roman" w:cs="Times New Roman"/>
          <w:kern w:val="0"/>
          <w:lang w:eastAsia="en-GB"/>
          <w14:ligatures w14:val="none"/>
        </w:rPr>
        <w:t xml:space="preserve"> — one named individual or function owns sponsor compliance, with defined accountability</w:t>
      </w:r>
    </w:p>
    <w:p w14:paraId="46C22AE0" w14:textId="77777777" w:rsidR="005E2E6A" w:rsidRPr="005E2E6A" w:rsidRDefault="005E2E6A" w:rsidP="005E2E6A">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b/>
          <w:bCs/>
          <w:kern w:val="0"/>
          <w:lang w:eastAsia="en-GB"/>
          <w14:ligatures w14:val="none"/>
        </w:rPr>
        <w:t>Structured reporting processes</w:t>
      </w:r>
      <w:r w:rsidRPr="005E2E6A">
        <w:rPr>
          <w:rFonts w:ascii="Times New Roman" w:eastAsia="Times New Roman" w:hAnsi="Times New Roman" w:cs="Times New Roman"/>
          <w:kern w:val="0"/>
          <w:lang w:eastAsia="en-GB"/>
          <w14:ligatures w14:val="none"/>
        </w:rPr>
        <w:t xml:space="preserve"> — not dependent on institutional memory or ad hoc reminders</w:t>
      </w:r>
    </w:p>
    <w:p w14:paraId="21F3B310" w14:textId="77777777" w:rsidR="005E2E6A" w:rsidRPr="005E2E6A" w:rsidRDefault="005E2E6A" w:rsidP="005E2E6A">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b/>
          <w:bCs/>
          <w:kern w:val="0"/>
          <w:lang w:eastAsia="en-GB"/>
          <w14:ligatures w14:val="none"/>
        </w:rPr>
        <w:t>Organised employee records</w:t>
      </w:r>
      <w:r w:rsidRPr="005E2E6A">
        <w:rPr>
          <w:rFonts w:ascii="Times New Roman" w:eastAsia="Times New Roman" w:hAnsi="Times New Roman" w:cs="Times New Roman"/>
          <w:kern w:val="0"/>
          <w:lang w:eastAsia="en-GB"/>
          <w14:ligatures w14:val="none"/>
        </w:rPr>
        <w:t xml:space="preserve"> — accessible, current, and audit-ready at any point</w:t>
      </w:r>
    </w:p>
    <w:p w14:paraId="1D291E91" w14:textId="77777777" w:rsidR="005E2E6A" w:rsidRPr="005E2E6A" w:rsidRDefault="005E2E6A" w:rsidP="005E2E6A">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b/>
          <w:bCs/>
          <w:kern w:val="0"/>
          <w:lang w:eastAsia="en-GB"/>
          <w14:ligatures w14:val="none"/>
        </w:rPr>
        <w:t>Regular internal audits</w:t>
      </w:r>
      <w:r w:rsidRPr="005E2E6A">
        <w:rPr>
          <w:rFonts w:ascii="Times New Roman" w:eastAsia="Times New Roman" w:hAnsi="Times New Roman" w:cs="Times New Roman"/>
          <w:kern w:val="0"/>
          <w:lang w:eastAsia="en-GB"/>
          <w14:ligatures w14:val="none"/>
        </w:rPr>
        <w:t xml:space="preserve"> — proactive compliance reviews, not reactive scrambles after a Home Office letter arrives</w:t>
      </w:r>
    </w:p>
    <w:p w14:paraId="4D866B87" w14:textId="77777777" w:rsidR="005E2E6A" w:rsidRPr="005E2E6A" w:rsidRDefault="005E2E6A" w:rsidP="005E2E6A">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b/>
          <w:bCs/>
          <w:kern w:val="0"/>
          <w:lang w:eastAsia="en-GB"/>
          <w14:ligatures w14:val="none"/>
        </w:rPr>
        <w:t>Trained teams</w:t>
      </w:r>
      <w:r w:rsidRPr="005E2E6A">
        <w:rPr>
          <w:rFonts w:ascii="Times New Roman" w:eastAsia="Times New Roman" w:hAnsi="Times New Roman" w:cs="Times New Roman"/>
          <w:kern w:val="0"/>
          <w:lang w:eastAsia="en-GB"/>
          <w14:ligatures w14:val="none"/>
        </w:rPr>
        <w:t xml:space="preserve"> — HR and operational staff who understand what sponsor duties require, not just what the visa application process looks like</w:t>
      </w:r>
    </w:p>
    <w:p w14:paraId="38D8057E" w14:textId="77777777" w:rsidR="005E2E6A" w:rsidRPr="005E2E6A" w:rsidRDefault="005E2E6A" w:rsidP="005E2E6A">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b/>
          <w:bCs/>
          <w:kern w:val="0"/>
          <w:lang w:eastAsia="en-GB"/>
          <w14:ligatures w14:val="none"/>
        </w:rPr>
        <w:t>Robust right to work controls</w:t>
      </w:r>
      <w:r w:rsidRPr="005E2E6A">
        <w:rPr>
          <w:rFonts w:ascii="Times New Roman" w:eastAsia="Times New Roman" w:hAnsi="Times New Roman" w:cs="Times New Roman"/>
          <w:kern w:val="0"/>
          <w:lang w:eastAsia="en-GB"/>
          <w14:ligatures w14:val="none"/>
        </w:rPr>
        <w:t xml:space="preserve"> — systematic checks, not paper exercises</w:t>
      </w:r>
    </w:p>
    <w:p w14:paraId="52577862" w14:textId="77777777" w:rsidR="005E2E6A" w:rsidRPr="005E2E6A" w:rsidRDefault="005E2E6A" w:rsidP="005E2E6A">
      <w:pPr>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 xml:space="preserve">&lt;!-- Internal link placeholder: [How to prepare for a Home Office compliance visit →](/blog/home-office-compliance-visit-preparation) --&gt; </w:t>
      </w:r>
    </w:p>
    <w:p w14:paraId="00B217A1" w14:textId="77777777" w:rsidR="005E2E6A" w:rsidRPr="005E2E6A" w:rsidRDefault="005E2E6A" w:rsidP="005E2E6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2E6A">
        <w:rPr>
          <w:rFonts w:ascii="Times New Roman" w:eastAsia="Times New Roman" w:hAnsi="Times New Roman" w:cs="Times New Roman"/>
          <w:b/>
          <w:bCs/>
          <w:kern w:val="0"/>
          <w:sz w:val="36"/>
          <w:szCs w:val="36"/>
          <w:lang w:eastAsia="en-GB"/>
          <w14:ligatures w14:val="none"/>
        </w:rPr>
        <w:t xml:space="preserve">How </w:t>
      </w:r>
      <w:proofErr w:type="spellStart"/>
      <w:r w:rsidRPr="005E2E6A">
        <w:rPr>
          <w:rFonts w:ascii="Times New Roman" w:eastAsia="Times New Roman" w:hAnsi="Times New Roman" w:cs="Times New Roman"/>
          <w:b/>
          <w:bCs/>
          <w:kern w:val="0"/>
          <w:sz w:val="36"/>
          <w:szCs w:val="36"/>
          <w:lang w:eastAsia="en-GB"/>
          <w14:ligatures w14:val="none"/>
        </w:rPr>
        <w:t>SoftHire</w:t>
      </w:r>
      <w:proofErr w:type="spellEnd"/>
      <w:r w:rsidRPr="005E2E6A">
        <w:rPr>
          <w:rFonts w:ascii="Times New Roman" w:eastAsia="Times New Roman" w:hAnsi="Times New Roman" w:cs="Times New Roman"/>
          <w:b/>
          <w:bCs/>
          <w:kern w:val="0"/>
          <w:sz w:val="36"/>
          <w:szCs w:val="36"/>
          <w:lang w:eastAsia="en-GB"/>
          <w14:ligatures w14:val="none"/>
        </w:rPr>
        <w:t xml:space="preserve"> Helps</w:t>
      </w:r>
    </w:p>
    <w:p w14:paraId="4B412EAA"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Every suspension trigger described in this article — missed reporting deadlines, inconsistent records, unclear SMS ownership, poor audit readiness — stems from the same root cause: immigration compliance managed through spreadsheets, email chains, and institutional memory rather than structured systems.</w:t>
      </w:r>
    </w:p>
    <w:p w14:paraId="1EA80BEC"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5E2E6A">
        <w:rPr>
          <w:rFonts w:ascii="Times New Roman" w:eastAsia="Times New Roman" w:hAnsi="Times New Roman" w:cs="Times New Roman"/>
          <w:kern w:val="0"/>
          <w:lang w:eastAsia="en-GB"/>
          <w14:ligatures w14:val="none"/>
        </w:rPr>
        <w:t>SoftHire</w:t>
      </w:r>
      <w:proofErr w:type="spellEnd"/>
      <w:r w:rsidRPr="005E2E6A">
        <w:rPr>
          <w:rFonts w:ascii="Times New Roman" w:eastAsia="Times New Roman" w:hAnsi="Times New Roman" w:cs="Times New Roman"/>
          <w:kern w:val="0"/>
          <w:lang w:eastAsia="en-GB"/>
          <w14:ligatures w14:val="none"/>
        </w:rPr>
        <w:t xml:space="preserve"> replaces that fragile manual layer with a compliance infrastructure designed around the way sponsor duties actually work:</w:t>
      </w:r>
    </w:p>
    <w:p w14:paraId="2FDE2BB6" w14:textId="77777777" w:rsidR="005E2E6A" w:rsidRPr="005E2E6A" w:rsidRDefault="005E2E6A" w:rsidP="005E2E6A">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b/>
          <w:bCs/>
          <w:kern w:val="0"/>
          <w:lang w:eastAsia="en-GB"/>
          <w14:ligatures w14:val="none"/>
        </w:rPr>
        <w:t>Automated reporting workflows</w:t>
      </w:r>
      <w:r w:rsidRPr="005E2E6A">
        <w:rPr>
          <w:rFonts w:ascii="Times New Roman" w:eastAsia="Times New Roman" w:hAnsi="Times New Roman" w:cs="Times New Roman"/>
          <w:kern w:val="0"/>
          <w:lang w:eastAsia="en-GB"/>
          <w14:ligatures w14:val="none"/>
        </w:rPr>
        <w:t xml:space="preserve"> that flag obligations before they become breaches</w:t>
      </w:r>
    </w:p>
    <w:p w14:paraId="793FA9D3" w14:textId="77777777" w:rsidR="005E2E6A" w:rsidRPr="005E2E6A" w:rsidRDefault="005E2E6A" w:rsidP="005E2E6A">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b/>
          <w:bCs/>
          <w:kern w:val="0"/>
          <w:lang w:eastAsia="en-GB"/>
          <w14:ligatures w14:val="none"/>
        </w:rPr>
        <w:t>Structured employee records</w:t>
      </w:r>
      <w:r w:rsidRPr="005E2E6A">
        <w:rPr>
          <w:rFonts w:ascii="Times New Roman" w:eastAsia="Times New Roman" w:hAnsi="Times New Roman" w:cs="Times New Roman"/>
          <w:kern w:val="0"/>
          <w:lang w:eastAsia="en-GB"/>
          <w14:ligatures w14:val="none"/>
        </w:rPr>
        <w:t xml:space="preserve"> mapped to Home Office audit requirements, not internal HR convenience</w:t>
      </w:r>
    </w:p>
    <w:p w14:paraId="1A62F326" w14:textId="77777777" w:rsidR="005E2E6A" w:rsidRPr="005E2E6A" w:rsidRDefault="005E2E6A" w:rsidP="005E2E6A">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b/>
          <w:bCs/>
          <w:kern w:val="0"/>
          <w:lang w:eastAsia="en-GB"/>
          <w14:ligatures w14:val="none"/>
        </w:rPr>
        <w:t>Clear compliance ownership</w:t>
      </w:r>
      <w:r w:rsidRPr="005E2E6A">
        <w:rPr>
          <w:rFonts w:ascii="Times New Roman" w:eastAsia="Times New Roman" w:hAnsi="Times New Roman" w:cs="Times New Roman"/>
          <w:kern w:val="0"/>
          <w:lang w:eastAsia="en-GB"/>
          <w14:ligatures w14:val="none"/>
        </w:rPr>
        <w:t xml:space="preserve"> with audit trails that demonstrate governance to regulators</w:t>
      </w:r>
    </w:p>
    <w:p w14:paraId="6116B712" w14:textId="77777777" w:rsidR="005E2E6A" w:rsidRPr="005E2E6A" w:rsidRDefault="005E2E6A" w:rsidP="005E2E6A">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b/>
          <w:bCs/>
          <w:kern w:val="0"/>
          <w:lang w:eastAsia="en-GB"/>
          <w14:ligatures w14:val="none"/>
        </w:rPr>
        <w:t>Deadline tracking and escalation</w:t>
      </w:r>
      <w:r w:rsidRPr="005E2E6A">
        <w:rPr>
          <w:rFonts w:ascii="Times New Roman" w:eastAsia="Times New Roman" w:hAnsi="Times New Roman" w:cs="Times New Roman"/>
          <w:kern w:val="0"/>
          <w:lang w:eastAsia="en-GB"/>
          <w14:ligatures w14:val="none"/>
        </w:rPr>
        <w:t xml:space="preserve"> so that no reporting obligation depends on someone remembering</w:t>
      </w:r>
    </w:p>
    <w:p w14:paraId="3F7A0535"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The organisations that avoid suspension aren't necessarily more diligent. They have better systems.</w:t>
      </w:r>
    </w:p>
    <w:p w14:paraId="472689A9"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 xml:space="preserve">If your organisation holds a sponsor licence — or is applying for one — and you want to understand where your compliance gaps are, </w:t>
      </w:r>
      <w:hyperlink r:id="rId5" w:history="1">
        <w:r w:rsidRPr="005E2E6A">
          <w:rPr>
            <w:rFonts w:ascii="Times New Roman" w:eastAsia="Times New Roman" w:hAnsi="Times New Roman" w:cs="Times New Roman"/>
            <w:color w:val="0000FF"/>
            <w:kern w:val="0"/>
            <w:u w:val="single"/>
            <w:lang w:eastAsia="en-GB"/>
            <w14:ligatures w14:val="none"/>
          </w:rPr>
          <w:t>get in touch</w:t>
        </w:r>
      </w:hyperlink>
      <w:r w:rsidRPr="005E2E6A">
        <w:rPr>
          <w:rFonts w:ascii="Times New Roman" w:eastAsia="Times New Roman" w:hAnsi="Times New Roman" w:cs="Times New Roman"/>
          <w:kern w:val="0"/>
          <w:lang w:eastAsia="en-GB"/>
          <w14:ligatures w14:val="none"/>
        </w:rPr>
        <w:t>.</w:t>
      </w:r>
    </w:p>
    <w:p w14:paraId="2C7BF635" w14:textId="77777777" w:rsidR="005E2E6A" w:rsidRPr="005E2E6A" w:rsidRDefault="005E2E6A" w:rsidP="005E2E6A">
      <w:pPr>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 xml:space="preserve">&lt;!-- Internal link placeholder: [Understanding your sponsor licence obligations →](/blog/sponsor-licence-duties-guide) --&gt; &lt;!-- Internal link placeholder: [Certificate of Sponsorship: what employers need to know →](/blog/certificate-of-sponsorship-guide) --&gt; </w:t>
      </w:r>
    </w:p>
    <w:p w14:paraId="2AA1129E" w14:textId="77777777" w:rsidR="005E2E6A" w:rsidRPr="005E2E6A" w:rsidRDefault="005E2E6A" w:rsidP="005E2E6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2E6A">
        <w:rPr>
          <w:rFonts w:ascii="Times New Roman" w:eastAsia="Times New Roman" w:hAnsi="Times New Roman" w:cs="Times New Roman"/>
          <w:b/>
          <w:bCs/>
          <w:kern w:val="0"/>
          <w:sz w:val="36"/>
          <w:szCs w:val="36"/>
          <w:lang w:eastAsia="en-GB"/>
          <w14:ligatures w14:val="none"/>
        </w:rPr>
        <w:t>Frequently Asked Questions</w:t>
      </w:r>
    </w:p>
    <w:p w14:paraId="0053F631"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b/>
          <w:bCs/>
          <w:kern w:val="0"/>
          <w:lang w:eastAsia="en-GB"/>
          <w14:ligatures w14:val="none"/>
        </w:rPr>
        <w:lastRenderedPageBreak/>
        <w:t>How quickly do I need to respond to a suspension notice?</w:t>
      </w:r>
    </w:p>
    <w:p w14:paraId="30187185"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The notice will specify a deadline — typically 20 working days, though this can vary. Don't wait. The strongest responses are assembled in the first week, even if they're refined before submission.</w:t>
      </w:r>
    </w:p>
    <w:p w14:paraId="34C7CC3E"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b/>
          <w:bCs/>
          <w:kern w:val="0"/>
          <w:lang w:eastAsia="en-GB"/>
          <w14:ligatures w14:val="none"/>
        </w:rPr>
        <w:t>Will my sponsored employees lose their visas?</w:t>
      </w:r>
    </w:p>
    <w:p w14:paraId="6FF32EFA"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Not automatically. Existing sponsored workers can generally continue working during the suspension period. However, if the suspension escalates to revocation, curtailment of their leave may follow — which is why resolving the suspension quickly matters for your workforce, not just your licence.</w:t>
      </w:r>
    </w:p>
    <w:p w14:paraId="5F5E1F76"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b/>
          <w:bCs/>
          <w:kern w:val="0"/>
          <w:lang w:eastAsia="en-GB"/>
          <w14:ligatures w14:val="none"/>
        </w:rPr>
        <w:t>Can I assign Certificates of Sponsorship during suspension?</w:t>
      </w:r>
    </w:p>
    <w:p w14:paraId="38E9C869"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 xml:space="preserve">No. All new sponsorship activity is frozen. You cannot assign </w:t>
      </w:r>
      <w:proofErr w:type="spellStart"/>
      <w:r w:rsidRPr="005E2E6A">
        <w:rPr>
          <w:rFonts w:ascii="Times New Roman" w:eastAsia="Times New Roman" w:hAnsi="Times New Roman" w:cs="Times New Roman"/>
          <w:kern w:val="0"/>
          <w:lang w:eastAsia="en-GB"/>
          <w14:ligatures w14:val="none"/>
        </w:rPr>
        <w:t>CoS</w:t>
      </w:r>
      <w:proofErr w:type="spellEnd"/>
      <w:r w:rsidRPr="005E2E6A">
        <w:rPr>
          <w:rFonts w:ascii="Times New Roman" w:eastAsia="Times New Roman" w:hAnsi="Times New Roman" w:cs="Times New Roman"/>
          <w:kern w:val="0"/>
          <w:lang w:eastAsia="en-GB"/>
          <w14:ligatures w14:val="none"/>
        </w:rPr>
        <w:t>, sponsor new workers, or progress pending sponsorship-based recruitment.</w:t>
      </w:r>
    </w:p>
    <w:p w14:paraId="7BBA361D"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b/>
          <w:bCs/>
          <w:kern w:val="0"/>
          <w:lang w:eastAsia="en-GB"/>
          <w14:ligatures w14:val="none"/>
        </w:rPr>
        <w:t>What's the difference between suspension and revocation?</w:t>
      </w:r>
    </w:p>
    <w:p w14:paraId="31BAEBCD"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Suspension is temporary and investigative — the Home Office is looking into concerns and giving you a chance to respond. Revocation is final — your sponsorship permission is permanently removed. Suspension can be resolved; revocation typically cannot.</w:t>
      </w:r>
    </w:p>
    <w:p w14:paraId="6AF4D549"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b/>
          <w:bCs/>
          <w:kern w:val="0"/>
          <w:lang w:eastAsia="en-GB"/>
          <w14:ligatures w14:val="none"/>
        </w:rPr>
        <w:t>Is it worth getting legal advice?</w:t>
      </w:r>
    </w:p>
    <w:p w14:paraId="4DA74C1A"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It depends on the severity. For straightforward administrative issues, a well-prepared internal response may suffice. For serious allegations, unclear compliance positions, or tight deadlines, specialist immigration advice is usually worth the investment. The cost of a strong response is almost always less than the cost of revocation.</w:t>
      </w:r>
    </w:p>
    <w:p w14:paraId="261F6195"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b/>
          <w:bCs/>
          <w:kern w:val="0"/>
          <w:lang w:eastAsia="en-GB"/>
          <w14:ligatures w14:val="none"/>
        </w:rPr>
        <w:t>Can I reapply if my licence is revoked?</w:t>
      </w:r>
    </w:p>
    <w:p w14:paraId="1CEF4655" w14:textId="77777777"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r w:rsidRPr="005E2E6A">
        <w:rPr>
          <w:rFonts w:ascii="Times New Roman" w:eastAsia="Times New Roman" w:hAnsi="Times New Roman" w:cs="Times New Roman"/>
          <w:kern w:val="0"/>
          <w:lang w:eastAsia="en-GB"/>
          <w14:ligatures w14:val="none"/>
        </w:rPr>
        <w:t>There is typically a cooling-off period before reapplication, and the Home Office will scrutinise any new application heavily. Prevention is significantly better than cure.</w:t>
      </w:r>
    </w:p>
    <w:p w14:paraId="2269DD02" w14:textId="77777777" w:rsidR="005E2E6A" w:rsidRPr="005E2E6A" w:rsidRDefault="00087E7B" w:rsidP="005E2E6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C315521">
          <v:rect id="_x0000_i1025" alt="" style="width:451.3pt;height:.05pt;mso-width-percent:0;mso-height-percent:0;mso-width-percent:0;mso-height-percent:0" o:hralign="center" o:hrstd="t" o:hr="t" fillcolor="#a0a0a0" stroked="f"/>
        </w:pict>
      </w:r>
    </w:p>
    <w:p w14:paraId="52505D0F" w14:textId="09C3A40C" w:rsidR="005E2E6A" w:rsidRPr="005E2E6A" w:rsidRDefault="005E2E6A" w:rsidP="005E2E6A">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5E2E6A">
        <w:rPr>
          <w:rFonts w:ascii="Times New Roman" w:eastAsia="Times New Roman" w:hAnsi="Times New Roman" w:cs="Times New Roman"/>
          <w:i/>
          <w:iCs/>
          <w:kern w:val="0"/>
          <w:lang w:eastAsia="en-GB"/>
          <w14:ligatures w14:val="none"/>
        </w:rPr>
        <w:t>SoftHire</w:t>
      </w:r>
      <w:proofErr w:type="spellEnd"/>
      <w:r w:rsidRPr="005E2E6A">
        <w:rPr>
          <w:rFonts w:ascii="Times New Roman" w:eastAsia="Times New Roman" w:hAnsi="Times New Roman" w:cs="Times New Roman"/>
          <w:i/>
          <w:iCs/>
          <w:kern w:val="0"/>
          <w:lang w:eastAsia="en-GB"/>
          <w14:ligatures w14:val="none"/>
        </w:rPr>
        <w:t xml:space="preserve"> is an IAA-regulated immigration law </w:t>
      </w:r>
      <w:r w:rsidR="00E97F45">
        <w:rPr>
          <w:rFonts w:ascii="Times New Roman" w:eastAsia="Times New Roman" w:hAnsi="Times New Roman" w:cs="Times New Roman"/>
          <w:i/>
          <w:iCs/>
          <w:kern w:val="0"/>
          <w:lang w:eastAsia="en-GB"/>
          <w14:ligatures w14:val="none"/>
        </w:rPr>
        <w:t xml:space="preserve">advisory </w:t>
      </w:r>
      <w:r w:rsidRPr="005E2E6A">
        <w:rPr>
          <w:rFonts w:ascii="Times New Roman" w:eastAsia="Times New Roman" w:hAnsi="Times New Roman" w:cs="Times New Roman"/>
          <w:i/>
          <w:iCs/>
          <w:kern w:val="0"/>
          <w:lang w:eastAsia="en-GB"/>
          <w14:ligatures w14:val="none"/>
        </w:rPr>
        <w:t xml:space="preserve">helping UK employers manage sponsor licence compliance through structured workflows and operational oversight. </w:t>
      </w:r>
      <w:hyperlink r:id="rId6" w:history="1">
        <w:r w:rsidRPr="005E2E6A">
          <w:rPr>
            <w:rFonts w:ascii="Times New Roman" w:eastAsia="Times New Roman" w:hAnsi="Times New Roman" w:cs="Times New Roman"/>
            <w:i/>
            <w:iCs/>
            <w:color w:val="0000FF"/>
            <w:kern w:val="0"/>
            <w:u w:val="single"/>
            <w:lang w:eastAsia="en-GB"/>
            <w14:ligatures w14:val="none"/>
          </w:rPr>
          <w:t>Learn more about how we work →</w:t>
        </w:r>
      </w:hyperlink>
    </w:p>
    <w:p w14:paraId="1215466C" w14:textId="77777777" w:rsidR="00514CBF" w:rsidRDefault="00514CBF"/>
    <w:sectPr w:rsidR="00514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E7C6B"/>
    <w:multiLevelType w:val="multilevel"/>
    <w:tmpl w:val="D31A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F141A"/>
    <w:multiLevelType w:val="multilevel"/>
    <w:tmpl w:val="9F2E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43E54"/>
    <w:multiLevelType w:val="multilevel"/>
    <w:tmpl w:val="BC82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35851"/>
    <w:multiLevelType w:val="multilevel"/>
    <w:tmpl w:val="AC64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B22DC"/>
    <w:multiLevelType w:val="multilevel"/>
    <w:tmpl w:val="2712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64DA9"/>
    <w:multiLevelType w:val="multilevel"/>
    <w:tmpl w:val="472E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447DC"/>
    <w:multiLevelType w:val="multilevel"/>
    <w:tmpl w:val="0146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83110"/>
    <w:multiLevelType w:val="multilevel"/>
    <w:tmpl w:val="F452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24F16"/>
    <w:multiLevelType w:val="multilevel"/>
    <w:tmpl w:val="8E94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83B03"/>
    <w:multiLevelType w:val="multilevel"/>
    <w:tmpl w:val="2F3E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1585A"/>
    <w:multiLevelType w:val="multilevel"/>
    <w:tmpl w:val="9CCE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5384D"/>
    <w:multiLevelType w:val="multilevel"/>
    <w:tmpl w:val="48AC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05407"/>
    <w:multiLevelType w:val="multilevel"/>
    <w:tmpl w:val="BA18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A3E69"/>
    <w:multiLevelType w:val="multilevel"/>
    <w:tmpl w:val="E5E2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DB2B46"/>
    <w:multiLevelType w:val="multilevel"/>
    <w:tmpl w:val="8C88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2B2648"/>
    <w:multiLevelType w:val="multilevel"/>
    <w:tmpl w:val="B95C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4E3A9F"/>
    <w:multiLevelType w:val="multilevel"/>
    <w:tmpl w:val="40FA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046DD"/>
    <w:multiLevelType w:val="multilevel"/>
    <w:tmpl w:val="A816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1421DB"/>
    <w:multiLevelType w:val="multilevel"/>
    <w:tmpl w:val="2544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AA2FA8"/>
    <w:multiLevelType w:val="multilevel"/>
    <w:tmpl w:val="DE7C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0842E2"/>
    <w:multiLevelType w:val="multilevel"/>
    <w:tmpl w:val="2E6A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D74136"/>
    <w:multiLevelType w:val="multilevel"/>
    <w:tmpl w:val="E8BE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E32332"/>
    <w:multiLevelType w:val="multilevel"/>
    <w:tmpl w:val="EE84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440ABF"/>
    <w:multiLevelType w:val="multilevel"/>
    <w:tmpl w:val="F0A0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E31BDD"/>
    <w:multiLevelType w:val="multilevel"/>
    <w:tmpl w:val="36B6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2E25C3"/>
    <w:multiLevelType w:val="multilevel"/>
    <w:tmpl w:val="DB80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F74E99"/>
    <w:multiLevelType w:val="multilevel"/>
    <w:tmpl w:val="1942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6878AF"/>
    <w:multiLevelType w:val="multilevel"/>
    <w:tmpl w:val="5C16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AF6F6D"/>
    <w:multiLevelType w:val="multilevel"/>
    <w:tmpl w:val="F66A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6E14D6"/>
    <w:multiLevelType w:val="multilevel"/>
    <w:tmpl w:val="0DBA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196AAF"/>
    <w:multiLevelType w:val="multilevel"/>
    <w:tmpl w:val="003E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2F7A70"/>
    <w:multiLevelType w:val="multilevel"/>
    <w:tmpl w:val="C2E2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A87676"/>
    <w:multiLevelType w:val="multilevel"/>
    <w:tmpl w:val="C07A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627C9B"/>
    <w:multiLevelType w:val="multilevel"/>
    <w:tmpl w:val="4C7A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3D3421"/>
    <w:multiLevelType w:val="multilevel"/>
    <w:tmpl w:val="15D6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BB690C"/>
    <w:multiLevelType w:val="multilevel"/>
    <w:tmpl w:val="920A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8D6516"/>
    <w:multiLevelType w:val="multilevel"/>
    <w:tmpl w:val="B208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1B3213"/>
    <w:multiLevelType w:val="multilevel"/>
    <w:tmpl w:val="7150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F03309"/>
    <w:multiLevelType w:val="multilevel"/>
    <w:tmpl w:val="1BDC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466F2D"/>
    <w:multiLevelType w:val="multilevel"/>
    <w:tmpl w:val="E01C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AA46ED"/>
    <w:multiLevelType w:val="multilevel"/>
    <w:tmpl w:val="7900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F14BEB"/>
    <w:multiLevelType w:val="multilevel"/>
    <w:tmpl w:val="7860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935187">
    <w:abstractNumId w:val="11"/>
  </w:num>
  <w:num w:numId="2" w16cid:durableId="1553343140">
    <w:abstractNumId w:val="34"/>
  </w:num>
  <w:num w:numId="3" w16cid:durableId="779646304">
    <w:abstractNumId w:val="4"/>
  </w:num>
  <w:num w:numId="4" w16cid:durableId="1547836716">
    <w:abstractNumId w:val="9"/>
  </w:num>
  <w:num w:numId="5" w16cid:durableId="1360199877">
    <w:abstractNumId w:val="22"/>
  </w:num>
  <w:num w:numId="6" w16cid:durableId="1810978393">
    <w:abstractNumId w:val="19"/>
  </w:num>
  <w:num w:numId="7" w16cid:durableId="2034303338">
    <w:abstractNumId w:val="30"/>
  </w:num>
  <w:num w:numId="8" w16cid:durableId="1287658448">
    <w:abstractNumId w:val="36"/>
  </w:num>
  <w:num w:numId="9" w16cid:durableId="2096780529">
    <w:abstractNumId w:val="18"/>
  </w:num>
  <w:num w:numId="10" w16cid:durableId="775095193">
    <w:abstractNumId w:val="28"/>
  </w:num>
  <w:num w:numId="11" w16cid:durableId="1349529408">
    <w:abstractNumId w:val="17"/>
  </w:num>
  <w:num w:numId="12" w16cid:durableId="659116961">
    <w:abstractNumId w:val="35"/>
  </w:num>
  <w:num w:numId="13" w16cid:durableId="268970472">
    <w:abstractNumId w:val="7"/>
  </w:num>
  <w:num w:numId="14" w16cid:durableId="1246839312">
    <w:abstractNumId w:val="37"/>
  </w:num>
  <w:num w:numId="15" w16cid:durableId="889003291">
    <w:abstractNumId w:val="8"/>
  </w:num>
  <w:num w:numId="16" w16cid:durableId="724372602">
    <w:abstractNumId w:val="13"/>
  </w:num>
  <w:num w:numId="17" w16cid:durableId="383411756">
    <w:abstractNumId w:val="31"/>
  </w:num>
  <w:num w:numId="18" w16cid:durableId="977345465">
    <w:abstractNumId w:val="41"/>
  </w:num>
  <w:num w:numId="19" w16cid:durableId="2111462623">
    <w:abstractNumId w:val="24"/>
  </w:num>
  <w:num w:numId="20" w16cid:durableId="1102804756">
    <w:abstractNumId w:val="3"/>
  </w:num>
  <w:num w:numId="21" w16cid:durableId="898858551">
    <w:abstractNumId w:val="1"/>
  </w:num>
  <w:num w:numId="22" w16cid:durableId="1671057709">
    <w:abstractNumId w:val="26"/>
  </w:num>
  <w:num w:numId="23" w16cid:durableId="783185303">
    <w:abstractNumId w:val="38"/>
  </w:num>
  <w:num w:numId="24" w16cid:durableId="1641154075">
    <w:abstractNumId w:val="32"/>
  </w:num>
  <w:num w:numId="25" w16cid:durableId="325980118">
    <w:abstractNumId w:val="39"/>
  </w:num>
  <w:num w:numId="26" w16cid:durableId="2014061811">
    <w:abstractNumId w:val="12"/>
  </w:num>
  <w:num w:numId="27" w16cid:durableId="576672242">
    <w:abstractNumId w:val="14"/>
  </w:num>
  <w:num w:numId="28" w16cid:durableId="134878360">
    <w:abstractNumId w:val="33"/>
  </w:num>
  <w:num w:numId="29" w16cid:durableId="389156859">
    <w:abstractNumId w:val="21"/>
  </w:num>
  <w:num w:numId="30" w16cid:durableId="1172182016">
    <w:abstractNumId w:val="15"/>
  </w:num>
  <w:num w:numId="31" w16cid:durableId="1421827800">
    <w:abstractNumId w:val="0"/>
  </w:num>
  <w:num w:numId="32" w16cid:durableId="1790855734">
    <w:abstractNumId w:val="25"/>
  </w:num>
  <w:num w:numId="33" w16cid:durableId="1199859520">
    <w:abstractNumId w:val="23"/>
  </w:num>
  <w:num w:numId="34" w16cid:durableId="1108888904">
    <w:abstractNumId w:val="27"/>
  </w:num>
  <w:num w:numId="35" w16cid:durableId="1903714831">
    <w:abstractNumId w:val="2"/>
  </w:num>
  <w:num w:numId="36" w16cid:durableId="951396645">
    <w:abstractNumId w:val="10"/>
  </w:num>
  <w:num w:numId="37" w16cid:durableId="1871335149">
    <w:abstractNumId w:val="5"/>
  </w:num>
  <w:num w:numId="38" w16cid:durableId="100683798">
    <w:abstractNumId w:val="29"/>
  </w:num>
  <w:num w:numId="39" w16cid:durableId="1386874434">
    <w:abstractNumId w:val="6"/>
  </w:num>
  <w:num w:numId="40" w16cid:durableId="1046222123">
    <w:abstractNumId w:val="16"/>
  </w:num>
  <w:num w:numId="41" w16cid:durableId="1477410487">
    <w:abstractNumId w:val="20"/>
  </w:num>
  <w:num w:numId="42" w16cid:durableId="82058236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CBF"/>
    <w:rsid w:val="00087E7B"/>
    <w:rsid w:val="00514CBF"/>
    <w:rsid w:val="005E2E6A"/>
    <w:rsid w:val="009217EB"/>
    <w:rsid w:val="00C667E3"/>
    <w:rsid w:val="00E97F45"/>
    <w:rsid w:val="00EF294E"/>
    <w:rsid w:val="00F716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97FF4"/>
  <w15:chartTrackingRefBased/>
  <w15:docId w15:val="{F785D660-A6AA-EC42-94FD-4A79B1093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14CBF"/>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514CBF"/>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514CBF"/>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CBF"/>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514CBF"/>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514CBF"/>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514CBF"/>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514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514CBF"/>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514CBF"/>
    <w:rPr>
      <w:rFonts w:ascii="Courier New" w:eastAsia="Times New Roman" w:hAnsi="Courier New" w:cs="Courier New"/>
      <w:sz w:val="20"/>
      <w:szCs w:val="20"/>
    </w:rPr>
  </w:style>
  <w:style w:type="character" w:styleId="Strong">
    <w:name w:val="Strong"/>
    <w:basedOn w:val="DefaultParagraphFont"/>
    <w:uiPriority w:val="22"/>
    <w:qFormat/>
    <w:rsid w:val="00514CBF"/>
    <w:rPr>
      <w:b/>
      <w:bCs/>
    </w:rPr>
  </w:style>
  <w:style w:type="character" w:styleId="Hyperlink">
    <w:name w:val="Hyperlink"/>
    <w:basedOn w:val="DefaultParagraphFont"/>
    <w:uiPriority w:val="99"/>
    <w:semiHidden/>
    <w:unhideWhenUsed/>
    <w:rsid w:val="005E2E6A"/>
    <w:rPr>
      <w:color w:val="0000FF"/>
      <w:u w:val="single"/>
    </w:rPr>
  </w:style>
  <w:style w:type="character" w:styleId="Emphasis">
    <w:name w:val="Emphasis"/>
    <w:basedOn w:val="DefaultParagraphFont"/>
    <w:uiPriority w:val="20"/>
    <w:qFormat/>
    <w:rsid w:val="005E2E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500445">
      <w:bodyDiv w:val="1"/>
      <w:marLeft w:val="0"/>
      <w:marRight w:val="0"/>
      <w:marTop w:val="0"/>
      <w:marBottom w:val="0"/>
      <w:divBdr>
        <w:top w:val="none" w:sz="0" w:space="0" w:color="auto"/>
        <w:left w:val="none" w:sz="0" w:space="0" w:color="auto"/>
        <w:bottom w:val="none" w:sz="0" w:space="0" w:color="auto"/>
        <w:right w:val="none" w:sz="0" w:space="0" w:color="auto"/>
      </w:divBdr>
    </w:div>
    <w:div w:id="1110473803">
      <w:bodyDiv w:val="1"/>
      <w:marLeft w:val="0"/>
      <w:marRight w:val="0"/>
      <w:marTop w:val="0"/>
      <w:marBottom w:val="0"/>
      <w:divBdr>
        <w:top w:val="none" w:sz="0" w:space="0" w:color="auto"/>
        <w:left w:val="none" w:sz="0" w:space="0" w:color="auto"/>
        <w:bottom w:val="none" w:sz="0" w:space="0" w:color="auto"/>
        <w:right w:val="none" w:sz="0" w:space="0" w:color="auto"/>
      </w:divBdr>
    </w:div>
    <w:div w:id="1519393561">
      <w:bodyDiv w:val="1"/>
      <w:marLeft w:val="0"/>
      <w:marRight w:val="0"/>
      <w:marTop w:val="0"/>
      <w:marBottom w:val="0"/>
      <w:divBdr>
        <w:top w:val="none" w:sz="0" w:space="0" w:color="auto"/>
        <w:left w:val="none" w:sz="0" w:space="0" w:color="auto"/>
        <w:bottom w:val="none" w:sz="0" w:space="0" w:color="auto"/>
        <w:right w:val="none" w:sz="0" w:space="0" w:color="auto"/>
      </w:divBdr>
      <w:divsChild>
        <w:div w:id="280888281">
          <w:marLeft w:val="0"/>
          <w:marRight w:val="0"/>
          <w:marTop w:val="0"/>
          <w:marBottom w:val="0"/>
          <w:divBdr>
            <w:top w:val="none" w:sz="0" w:space="0" w:color="auto"/>
            <w:left w:val="none" w:sz="0" w:space="0" w:color="auto"/>
            <w:bottom w:val="none" w:sz="0" w:space="0" w:color="auto"/>
            <w:right w:val="none" w:sz="0" w:space="0" w:color="auto"/>
          </w:divBdr>
          <w:divsChild>
            <w:div w:id="306857632">
              <w:marLeft w:val="0"/>
              <w:marRight w:val="0"/>
              <w:marTop w:val="0"/>
              <w:marBottom w:val="0"/>
              <w:divBdr>
                <w:top w:val="none" w:sz="0" w:space="0" w:color="auto"/>
                <w:left w:val="none" w:sz="0" w:space="0" w:color="auto"/>
                <w:bottom w:val="none" w:sz="0" w:space="0" w:color="auto"/>
                <w:right w:val="none" w:sz="0" w:space="0" w:color="auto"/>
              </w:divBdr>
              <w:divsChild>
                <w:div w:id="640114431">
                  <w:marLeft w:val="0"/>
                  <w:marRight w:val="0"/>
                  <w:marTop w:val="0"/>
                  <w:marBottom w:val="0"/>
                  <w:divBdr>
                    <w:top w:val="none" w:sz="0" w:space="0" w:color="auto"/>
                    <w:left w:val="none" w:sz="0" w:space="0" w:color="auto"/>
                    <w:bottom w:val="none" w:sz="0" w:space="0" w:color="auto"/>
                    <w:right w:val="none" w:sz="0" w:space="0" w:color="auto"/>
                  </w:divBdr>
                  <w:divsChild>
                    <w:div w:id="664088513">
                      <w:marLeft w:val="0"/>
                      <w:marRight w:val="0"/>
                      <w:marTop w:val="0"/>
                      <w:marBottom w:val="0"/>
                      <w:divBdr>
                        <w:top w:val="none" w:sz="0" w:space="0" w:color="auto"/>
                        <w:left w:val="none" w:sz="0" w:space="0" w:color="auto"/>
                        <w:bottom w:val="none" w:sz="0" w:space="0" w:color="auto"/>
                        <w:right w:val="none" w:sz="0" w:space="0" w:color="auto"/>
                      </w:divBdr>
                      <w:divsChild>
                        <w:div w:id="371922106">
                          <w:marLeft w:val="0"/>
                          <w:marRight w:val="0"/>
                          <w:marTop w:val="0"/>
                          <w:marBottom w:val="0"/>
                          <w:divBdr>
                            <w:top w:val="none" w:sz="0" w:space="0" w:color="auto"/>
                            <w:left w:val="none" w:sz="0" w:space="0" w:color="auto"/>
                            <w:bottom w:val="none" w:sz="0" w:space="0" w:color="auto"/>
                            <w:right w:val="none" w:sz="0" w:space="0" w:color="auto"/>
                          </w:divBdr>
                          <w:divsChild>
                            <w:div w:id="1806312161">
                              <w:marLeft w:val="0"/>
                              <w:marRight w:val="0"/>
                              <w:marTop w:val="0"/>
                              <w:marBottom w:val="0"/>
                              <w:divBdr>
                                <w:top w:val="none" w:sz="0" w:space="0" w:color="auto"/>
                                <w:left w:val="none" w:sz="0" w:space="0" w:color="auto"/>
                                <w:bottom w:val="none" w:sz="0" w:space="0" w:color="auto"/>
                                <w:right w:val="none" w:sz="0" w:space="0" w:color="auto"/>
                              </w:divBdr>
                              <w:divsChild>
                                <w:div w:id="661003399">
                                  <w:marLeft w:val="0"/>
                                  <w:marRight w:val="0"/>
                                  <w:marTop w:val="0"/>
                                  <w:marBottom w:val="0"/>
                                  <w:divBdr>
                                    <w:top w:val="none" w:sz="0" w:space="0" w:color="auto"/>
                                    <w:left w:val="none" w:sz="0" w:space="0" w:color="auto"/>
                                    <w:bottom w:val="none" w:sz="0" w:space="0" w:color="auto"/>
                                    <w:right w:val="none" w:sz="0" w:space="0" w:color="auto"/>
                                  </w:divBdr>
                                  <w:divsChild>
                                    <w:div w:id="1877935419">
                                      <w:marLeft w:val="0"/>
                                      <w:marRight w:val="0"/>
                                      <w:marTop w:val="0"/>
                                      <w:marBottom w:val="0"/>
                                      <w:divBdr>
                                        <w:top w:val="none" w:sz="0" w:space="0" w:color="auto"/>
                                        <w:left w:val="none" w:sz="0" w:space="0" w:color="auto"/>
                                        <w:bottom w:val="none" w:sz="0" w:space="0" w:color="auto"/>
                                        <w:right w:val="none" w:sz="0" w:space="0" w:color="auto"/>
                                      </w:divBdr>
                                      <w:divsChild>
                                        <w:div w:id="931158205">
                                          <w:marLeft w:val="0"/>
                                          <w:marRight w:val="0"/>
                                          <w:marTop w:val="0"/>
                                          <w:marBottom w:val="0"/>
                                          <w:divBdr>
                                            <w:top w:val="none" w:sz="0" w:space="0" w:color="auto"/>
                                            <w:left w:val="none" w:sz="0" w:space="0" w:color="auto"/>
                                            <w:bottom w:val="none" w:sz="0" w:space="0" w:color="auto"/>
                                            <w:right w:val="none" w:sz="0" w:space="0" w:color="auto"/>
                                          </w:divBdr>
                                          <w:divsChild>
                                            <w:div w:id="2105225341">
                                              <w:marLeft w:val="0"/>
                                              <w:marRight w:val="0"/>
                                              <w:marTop w:val="0"/>
                                              <w:marBottom w:val="0"/>
                                              <w:divBdr>
                                                <w:top w:val="none" w:sz="0" w:space="0" w:color="auto"/>
                                                <w:left w:val="none" w:sz="0" w:space="0" w:color="auto"/>
                                                <w:bottom w:val="none" w:sz="0" w:space="0" w:color="auto"/>
                                                <w:right w:val="none" w:sz="0" w:space="0" w:color="auto"/>
                                              </w:divBdr>
                                              <w:divsChild>
                                                <w:div w:id="1001813394">
                                                  <w:marLeft w:val="0"/>
                                                  <w:marRight w:val="0"/>
                                                  <w:marTop w:val="0"/>
                                                  <w:marBottom w:val="0"/>
                                                  <w:divBdr>
                                                    <w:top w:val="none" w:sz="0" w:space="0" w:color="auto"/>
                                                    <w:left w:val="none" w:sz="0" w:space="0" w:color="auto"/>
                                                    <w:bottom w:val="none" w:sz="0" w:space="0" w:color="auto"/>
                                                    <w:right w:val="none" w:sz="0" w:space="0" w:color="auto"/>
                                                  </w:divBdr>
                                                  <w:divsChild>
                                                    <w:div w:id="24307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ude.ai/about" TargetMode="External"/><Relationship Id="rId5" Type="http://schemas.openxmlformats.org/officeDocument/2006/relationships/hyperlink" Target="https://claude.ai/conta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2187</Words>
  <Characters>12467</Characters>
  <Application>Microsoft Office Word</Application>
  <DocSecurity>0</DocSecurity>
  <Lines>103</Lines>
  <Paragraphs>29</Paragraphs>
  <ScaleCrop>false</ScaleCrop>
  <Company/>
  <LinksUpToDate>false</LinksUpToDate>
  <CharactersWithSpaces>14625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Mayuka Sah</dc:creator>
  <cp:keywords/>
  <dc:description/>
  <cp:lastModifiedBy>Mayuka Sah</cp:lastModifiedBy>
  <cp:revision>4</cp:revision>
  <dcterms:created xsi:type="dcterms:W3CDTF">2026-05-20T15:12:00Z</dcterms:created>
  <dcterms:modified xsi:type="dcterms:W3CDTF">2026-05-20T16:49:00Z</dcterms:modified>
</cp:coreProperties>
</file>