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A35226" w14:textId="77777777" w:rsidR="004C4955" w:rsidRPr="004C4955" w:rsidRDefault="004C4955" w:rsidP="004C4955">
      <w:pPr>
        <w:spacing w:before="100" w:beforeAutospacing="1" w:after="100" w:afterAutospacing="1"/>
        <w:outlineLvl w:val="0"/>
        <w:rPr>
          <w:rFonts w:ascii="Times New Roman" w:eastAsia="Times New Roman" w:hAnsi="Times New Roman" w:cs="Times New Roman"/>
          <w:b/>
          <w:bCs/>
          <w:kern w:val="36"/>
          <w:sz w:val="48"/>
          <w:szCs w:val="48"/>
          <w:lang w:eastAsia="en-GB"/>
          <w14:ligatures w14:val="none"/>
        </w:rPr>
      </w:pPr>
      <w:r w:rsidRPr="004C4955">
        <w:rPr>
          <w:rFonts w:ascii="Times New Roman" w:eastAsia="Times New Roman" w:hAnsi="Times New Roman" w:cs="Times New Roman"/>
          <w:b/>
          <w:bCs/>
          <w:kern w:val="36"/>
          <w:sz w:val="48"/>
          <w:szCs w:val="48"/>
          <w:lang w:eastAsia="en-GB"/>
          <w14:ligatures w14:val="none"/>
        </w:rPr>
        <w:t>Why UK Sponsor Licences Get Revoked (And How Employers Can Avoid It)</w:t>
      </w:r>
    </w:p>
    <w:p w14:paraId="0C935D11"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b/>
          <w:bCs/>
          <w:kern w:val="0"/>
          <w:lang w:eastAsia="en-GB"/>
          <w14:ligatures w14:val="none"/>
        </w:rPr>
        <w:t>Meta Title:</w:t>
      </w:r>
      <w:r w:rsidRPr="004C4955">
        <w:rPr>
          <w:rFonts w:ascii="Times New Roman" w:eastAsia="Times New Roman" w:hAnsi="Times New Roman" w:cs="Times New Roman"/>
          <w:kern w:val="0"/>
          <w:lang w:eastAsia="en-GB"/>
          <w14:ligatures w14:val="none"/>
        </w:rPr>
        <w:t xml:space="preserve"> Why UK Sponsor Licences Get Revoked (2026 Employer Guide) | </w:t>
      </w:r>
      <w:proofErr w:type="spellStart"/>
      <w:r w:rsidRPr="004C4955">
        <w:rPr>
          <w:rFonts w:ascii="Times New Roman" w:eastAsia="Times New Roman" w:hAnsi="Times New Roman" w:cs="Times New Roman"/>
          <w:kern w:val="0"/>
          <w:lang w:eastAsia="en-GB"/>
          <w14:ligatures w14:val="none"/>
        </w:rPr>
        <w:t>SoftHire</w:t>
      </w:r>
      <w:proofErr w:type="spellEnd"/>
    </w:p>
    <w:p w14:paraId="0C65FFD0"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b/>
          <w:bCs/>
          <w:kern w:val="0"/>
          <w:lang w:eastAsia="en-GB"/>
          <w14:ligatures w14:val="none"/>
        </w:rPr>
        <w:t>Meta Description:</w:t>
      </w:r>
      <w:r w:rsidRPr="004C4955">
        <w:rPr>
          <w:rFonts w:ascii="Times New Roman" w:eastAsia="Times New Roman" w:hAnsi="Times New Roman" w:cs="Times New Roman"/>
          <w:kern w:val="0"/>
          <w:lang w:eastAsia="en-GB"/>
          <w14:ligatures w14:val="none"/>
        </w:rPr>
        <w:t xml:space="preserve"> Revocation doesn't happen overnight — it's the result of compliance gaps that were visible months earlier. Here's what triggers it, what it actually costs, and the audit framework that prevents it.</w:t>
      </w:r>
    </w:p>
    <w:p w14:paraId="40138F9A"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b/>
          <w:bCs/>
          <w:kern w:val="0"/>
          <w:lang w:eastAsia="en-GB"/>
          <w14:ligatures w14:val="none"/>
        </w:rPr>
        <w:t>URL Slug:</w:t>
      </w:r>
      <w:r w:rsidRPr="004C4955">
        <w:rPr>
          <w:rFonts w:ascii="Times New Roman" w:eastAsia="Times New Roman" w:hAnsi="Times New Roman" w:cs="Times New Roman"/>
          <w:kern w:val="0"/>
          <w:lang w:eastAsia="en-GB"/>
          <w14:ligatures w14:val="none"/>
        </w:rPr>
        <w:t xml:space="preserve"> /blog/why-sponsor-licences-get-revoked</w:t>
      </w:r>
    </w:p>
    <w:p w14:paraId="4978D3E5" w14:textId="77777777" w:rsidR="004C4955" w:rsidRPr="004C4955" w:rsidRDefault="0007524D" w:rsidP="004C495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177A2167">
          <v:rect id="_x0000_i1026" alt="" style="width:451.3pt;height:.05pt;mso-width-percent:0;mso-height-percent:0;mso-width-percent:0;mso-height-percent:0" o:hralign="center" o:hrstd="t" o:hr="t" fillcolor="#a0a0a0" stroked="f"/>
        </w:pict>
      </w:r>
    </w:p>
    <w:p w14:paraId="3B65E6F0" w14:textId="77777777" w:rsidR="004C4955" w:rsidRPr="004C4955" w:rsidRDefault="004C4955" w:rsidP="004C495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C4955">
        <w:rPr>
          <w:rFonts w:ascii="Times New Roman" w:eastAsia="Times New Roman" w:hAnsi="Times New Roman" w:cs="Times New Roman"/>
          <w:b/>
          <w:bCs/>
          <w:kern w:val="0"/>
          <w:sz w:val="36"/>
          <w:szCs w:val="36"/>
          <w:lang w:eastAsia="en-GB"/>
          <w14:ligatures w14:val="none"/>
        </w:rPr>
        <w:t>Why UK Sponsor Licences Get Revoked (And How Employers Can Avoid It)</w:t>
      </w:r>
    </w:p>
    <w:p w14:paraId="4F594A7F"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 xml:space="preserve">Sponsor licence revocation is the most severe enforcement outcome the Home Office can impose on a licensed sponsor. Unlike </w:t>
      </w:r>
      <w:hyperlink r:id="rId5" w:history="1">
        <w:r w:rsidRPr="004C4955">
          <w:rPr>
            <w:rFonts w:ascii="Times New Roman" w:eastAsia="Times New Roman" w:hAnsi="Times New Roman" w:cs="Times New Roman"/>
            <w:color w:val="0000FF"/>
            <w:kern w:val="0"/>
            <w:u w:val="single"/>
            <w:lang w:eastAsia="en-GB"/>
            <w14:ligatures w14:val="none"/>
          </w:rPr>
          <w:t>suspension</w:t>
        </w:r>
      </w:hyperlink>
      <w:r w:rsidRPr="004C4955">
        <w:rPr>
          <w:rFonts w:ascii="Times New Roman" w:eastAsia="Times New Roman" w:hAnsi="Times New Roman" w:cs="Times New Roman"/>
          <w:kern w:val="0"/>
          <w:lang w:eastAsia="en-GB"/>
          <w14:ligatures w14:val="none"/>
        </w:rPr>
        <w:t>, which is temporary and investigative, revocation is final. Your ability to sponsor overseas workers ends. Existing sponsored employees face curtailment. Recruitment pipelines collapse. And rebuilding from this position is significantly harder — and more expensive — than most employers anticipate.</w:t>
      </w:r>
    </w:p>
    <w:p w14:paraId="2F8BC4A7"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Yet revocation rarely arrives without warning. In the majority of cases, the compliance weaknesses that ultimately triggered enforcement were visible months or years before the Home Office acted. The missed reports, the incomplete files, the unclear ownership of sponsor duties — these accumulate quietly until a compliance visit, an audit, or an external complaint brings them into focus all at once.</w:t>
      </w:r>
    </w:p>
    <w:p w14:paraId="2003FE55"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This guide covers the triggers that most commonly lead to revocation, what the real commercial consequences look like, and — most importantly — the compliance audit framework that allows employers to identify and close gaps before regulators find them.</w:t>
      </w:r>
    </w:p>
    <w:p w14:paraId="5440B72E" w14:textId="77777777" w:rsidR="004C4955" w:rsidRPr="004C4955" w:rsidRDefault="004C4955" w:rsidP="004C495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C4955">
        <w:rPr>
          <w:rFonts w:ascii="Times New Roman" w:eastAsia="Times New Roman" w:hAnsi="Times New Roman" w:cs="Times New Roman"/>
          <w:b/>
          <w:bCs/>
          <w:kern w:val="0"/>
          <w:sz w:val="36"/>
          <w:szCs w:val="36"/>
          <w:lang w:eastAsia="en-GB"/>
          <w14:ligatures w14:val="none"/>
        </w:rPr>
        <w:t>What Does Sponsor Licence Revocation Actually Mean?</w:t>
      </w:r>
    </w:p>
    <w:p w14:paraId="51C0314F"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Revocation means the Home Office has concluded that your organisation cannot be trusted to meet the obligations that come with sponsor status. It is not a warning. It is not an invitation to improve. It is the withdrawal of sponsorship permission.</w:t>
      </w:r>
    </w:p>
    <w:p w14:paraId="5530761F"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In practical terms:</w:t>
      </w:r>
    </w:p>
    <w:p w14:paraId="3F30559C" w14:textId="77777777" w:rsidR="004C4955" w:rsidRPr="004C4955" w:rsidRDefault="004C4955" w:rsidP="004C4955">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Your organisation can no longer assign Certificates of Sponsorship</w:t>
      </w:r>
    </w:p>
    <w:p w14:paraId="3C510D0D" w14:textId="77777777" w:rsidR="004C4955" w:rsidRPr="004C4955" w:rsidRDefault="004C4955" w:rsidP="004C4955">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All new sponsorship-based recruitment stops immediately</w:t>
      </w:r>
    </w:p>
    <w:p w14:paraId="0C6E7B3A" w14:textId="77777777" w:rsidR="004C4955" w:rsidRPr="004C4955" w:rsidRDefault="004C4955" w:rsidP="004C4955">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Existing sponsored workers may face curtailment — their permission to remain in the UK shortened, requiring them to find alternative sponsorship, switch immigration category, or leave the country</w:t>
      </w:r>
    </w:p>
    <w:p w14:paraId="057A08D6" w14:textId="77777777" w:rsidR="004C4955" w:rsidRPr="004C4955" w:rsidRDefault="004C4955" w:rsidP="004C4955">
      <w:pPr>
        <w:numPr>
          <w:ilvl w:val="0"/>
          <w:numId w:val="24"/>
        </w:num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Reapplication is subject to a cooling-off period and significantly heightened scrutiny</w:t>
      </w:r>
    </w:p>
    <w:p w14:paraId="35B1A607"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lastRenderedPageBreak/>
        <w:t xml:space="preserve">The difference between suspension and revocation is not merely one of severity. </w:t>
      </w:r>
      <w:hyperlink r:id="rId6" w:history="1">
        <w:r w:rsidRPr="004C4955">
          <w:rPr>
            <w:rFonts w:ascii="Times New Roman" w:eastAsia="Times New Roman" w:hAnsi="Times New Roman" w:cs="Times New Roman"/>
            <w:color w:val="0000FF"/>
            <w:kern w:val="0"/>
            <w:u w:val="single"/>
            <w:lang w:eastAsia="en-GB"/>
            <w14:ligatures w14:val="none"/>
          </w:rPr>
          <w:t>Suspension</w:t>
        </w:r>
      </w:hyperlink>
      <w:r w:rsidRPr="004C4955">
        <w:rPr>
          <w:rFonts w:ascii="Times New Roman" w:eastAsia="Times New Roman" w:hAnsi="Times New Roman" w:cs="Times New Roman"/>
          <w:kern w:val="0"/>
          <w:lang w:eastAsia="en-GB"/>
          <w14:ligatures w14:val="none"/>
        </w:rPr>
        <w:t xml:space="preserve"> is the Home Office asking a question: "Is there a compliance problem here?" Revocation is the Home Office answering it: "Yes, and we don't believe this organisation can fix it."</w:t>
      </w:r>
    </w:p>
    <w:p w14:paraId="7B3B1B6D" w14:textId="77777777" w:rsidR="004C4955" w:rsidRPr="004C4955" w:rsidRDefault="004C4955" w:rsidP="004C495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C4955">
        <w:rPr>
          <w:rFonts w:ascii="Times New Roman" w:eastAsia="Times New Roman" w:hAnsi="Times New Roman" w:cs="Times New Roman"/>
          <w:b/>
          <w:bCs/>
          <w:kern w:val="0"/>
          <w:sz w:val="36"/>
          <w:szCs w:val="36"/>
          <w:lang w:eastAsia="en-GB"/>
          <w14:ligatures w14:val="none"/>
        </w:rPr>
        <w:t>The Triggers: Why Licences Get Revoked</w:t>
      </w:r>
    </w:p>
    <w:p w14:paraId="25983057"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Revocation is almost never caused by a single mistake. The Home Office is making a judgement about institutional capability — whether the organisation has functioning systems, genuine oversight, and the operational discipline to meet sponsor obligations on an ongoing basis.</w:t>
      </w:r>
    </w:p>
    <w:p w14:paraId="5A834A4D"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When that judgement turns negative, it is usually because of one or more of the following.</w:t>
      </w:r>
    </w:p>
    <w:p w14:paraId="79C65DDC" w14:textId="77777777" w:rsidR="004C4955" w:rsidRPr="004C4955" w:rsidRDefault="004C4955" w:rsidP="004C495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4955">
        <w:rPr>
          <w:rFonts w:ascii="Times New Roman" w:eastAsia="Times New Roman" w:hAnsi="Times New Roman" w:cs="Times New Roman"/>
          <w:b/>
          <w:bCs/>
          <w:kern w:val="0"/>
          <w:sz w:val="27"/>
          <w:szCs w:val="27"/>
          <w:lang w:eastAsia="en-GB"/>
          <w14:ligatures w14:val="none"/>
        </w:rPr>
        <w:t>Systematic Sponsor Duty Failures</w:t>
      </w:r>
    </w:p>
    <w:p w14:paraId="4A0BC4B8"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Licensed sponsors carry a range of ongoing compliance obligations that extend well beyond the initial application. These include reporting relevant changes in a sponsored worker's circumstances, maintaining prescribed records, and monitoring immigration compliance across all sponsored employment.</w:t>
      </w:r>
    </w:p>
    <w:p w14:paraId="4086B42A"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The most common failures are prosaic: not reporting a resignation or dismissal within the required timeframe, missing prolonged unauthorised absences, failing to notify salary changes or role changes, not updating the SMS when business details change. Individually, these might attract a warning or contribute to a suspension. But when they form a pattern — three missed reports over six months, a cluster of incomplete files, reporting obligations that nobody in the organisation can explain — the Home Office stops seeing administrative slip-ups and starts seeing governance failure.</w:t>
      </w:r>
    </w:p>
    <w:p w14:paraId="0ABA89A0"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The distinction matters. A missed report is correctable. A pattern of missed reports tells the Home Office that compliance is not embedded in how the business operates. That is what drives revocation.</w:t>
      </w:r>
    </w:p>
    <w:p w14:paraId="313E74DA" w14:textId="77777777" w:rsidR="004C4955" w:rsidRPr="004C4955" w:rsidRDefault="004C4955" w:rsidP="004C495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4955">
        <w:rPr>
          <w:rFonts w:ascii="Times New Roman" w:eastAsia="Times New Roman" w:hAnsi="Times New Roman" w:cs="Times New Roman"/>
          <w:b/>
          <w:bCs/>
          <w:kern w:val="0"/>
          <w:sz w:val="27"/>
          <w:szCs w:val="27"/>
          <w:lang w:eastAsia="en-GB"/>
          <w14:ligatures w14:val="none"/>
        </w:rPr>
        <w:t>Genuine Vacancy and Sponsorship Integrity Concerns</w:t>
      </w:r>
    </w:p>
    <w:p w14:paraId="44158BBD"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The Home Office expects every sponsored role to reflect a real operational need, with duties and salary consistent with the basis on which the visa was granted. This is one of the most sensitive enforcement areas because it goes directly to the legitimacy of the sponsorship itself.</w:t>
      </w:r>
    </w:p>
    <w:p w14:paraId="099EA283"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Red flags include inflated job titles, vague or generic job descriptions, duties that don't match the selected SOC code, salaries inconsistent with the stated role, and evidence that workers are performing materially different functions from those declared. Where the Home Office concludes that sponsorship is being used to facilitate migration rather than fill genuine vacancies, trust erodes rapidly. And in cases involving false or misleading information — inaccurate declarations in sponsor applications, fabricated documentation, omission of material facts — revocation becomes almost inevitable. Sponsor licensing is fundamentally trust-based. Once honesty is in question, enforcement outcomes become significantly harsher.</w:t>
      </w:r>
    </w:p>
    <w:p w14:paraId="25CD2EB1" w14:textId="77777777" w:rsidR="004C4955" w:rsidRPr="004C4955" w:rsidRDefault="004C4955" w:rsidP="004C495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4955">
        <w:rPr>
          <w:rFonts w:ascii="Times New Roman" w:eastAsia="Times New Roman" w:hAnsi="Times New Roman" w:cs="Times New Roman"/>
          <w:b/>
          <w:bCs/>
          <w:kern w:val="0"/>
          <w:sz w:val="27"/>
          <w:szCs w:val="27"/>
          <w:lang w:eastAsia="en-GB"/>
          <w14:ligatures w14:val="none"/>
        </w:rPr>
        <w:t>Right to Work Compliance Failures</w:t>
      </w:r>
    </w:p>
    <w:p w14:paraId="4B85117E"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lastRenderedPageBreak/>
        <w:t>Sponsors are expected to operate compliant right to work processes — not as a one-off check at onboarding, but as an ongoing system with audit trails, documented ownership, and repeat checks where required. Failures typically include incomplete initial checks, expired documentation that was never followed up, inconsistent repeat checking, and absence of any documented process ownership.</w:t>
      </w:r>
    </w:p>
    <w:p w14:paraId="4AFCFCC5"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Where illegal working concerns emerge alongside sponsor compliance issues, the Home Office's posture shifts materially. Even if the sponsorship failures appear isolated, broader immigration compliance weaknesses compound the problem and make revocation significantly more likely.</w:t>
      </w:r>
    </w:p>
    <w:p w14:paraId="6679DDEB" w14:textId="77777777" w:rsidR="004C4955" w:rsidRPr="004C4955" w:rsidRDefault="004C4955" w:rsidP="004C495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4955">
        <w:rPr>
          <w:rFonts w:ascii="Times New Roman" w:eastAsia="Times New Roman" w:hAnsi="Times New Roman" w:cs="Times New Roman"/>
          <w:b/>
          <w:bCs/>
          <w:kern w:val="0"/>
          <w:sz w:val="27"/>
          <w:szCs w:val="27"/>
          <w:lang w:eastAsia="en-GB"/>
          <w14:ligatures w14:val="none"/>
        </w:rPr>
        <w:t>Failed Compliance Visits</w:t>
      </w:r>
    </w:p>
    <w:p w14:paraId="6C435DBB"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A Home Office compliance visit is often the moment where accumulated weaknesses become visible simultaneously. Officials will assess HR systems, employee files, reporting history, payroll consistency, vacancy legitimacy, and the organisation's operational understanding of sponsor duties. They may interview sponsored workers directly.</w:t>
      </w:r>
    </w:p>
    <w:p w14:paraId="6F6FB535"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Some of the most damaging impressions arise not from technical breaches, but from operational confusion: staff unable to explain sponsor processes, contradictory accounts from different teams, inability to retrieve key records under time pressure, sponsored employees describing roles that don't match sponsorship records. The message this sends is simple — the organisation does not control its sponsorship obligations. For multi-site employers, care groups, hospitality operators, and fast-growing businesses with decentralised HR, this is a particularly acute risk. Compliance may exist at head office but dissolve entirely at site level. The Home Office audits the operation, not the policy document.</w:t>
      </w:r>
    </w:p>
    <w:p w14:paraId="2B87B036" w14:textId="77777777" w:rsidR="004C4955" w:rsidRPr="004C4955" w:rsidRDefault="004C4955" w:rsidP="004C495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4955">
        <w:rPr>
          <w:rFonts w:ascii="Times New Roman" w:eastAsia="Times New Roman" w:hAnsi="Times New Roman" w:cs="Times New Roman"/>
          <w:b/>
          <w:bCs/>
          <w:kern w:val="0"/>
          <w:sz w:val="27"/>
          <w:szCs w:val="27"/>
          <w:lang w:eastAsia="en-GB"/>
          <w14:ligatures w14:val="none"/>
        </w:rPr>
        <w:t>Unreported Organisational Changes</w:t>
      </w:r>
    </w:p>
    <w:p w14:paraId="0F7FC822"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Corporate events — acquisitions, mergers, restructures, ownership changes, insolvency, office relocations — frequently create overlooked sponsor compliance obligations. Businesses naturally focus on commercial execution during these transitions, and sponsor licence duties get deprioritised or missed entirely.</w:t>
      </w:r>
    </w:p>
    <w:p w14:paraId="342D82E4"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The Home Office still expects compliance continuity. A change of ownership that isn't reported, a restructure that alters the employing entity without updating the SMS, an office move that renders the licence address incorrect — these can each independently trigger enforcement action. During periods of corporate change, sponsor compliance needs to be on the integration checklist alongside commercial, financial, and HR workstreams. It rarely is.</w:t>
      </w:r>
    </w:p>
    <w:p w14:paraId="510323B1" w14:textId="77777777" w:rsidR="004C4955" w:rsidRPr="004C4955" w:rsidRDefault="004C4955" w:rsidP="004C495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4955">
        <w:rPr>
          <w:rFonts w:ascii="Times New Roman" w:eastAsia="Times New Roman" w:hAnsi="Times New Roman" w:cs="Times New Roman"/>
          <w:b/>
          <w:bCs/>
          <w:kern w:val="0"/>
          <w:sz w:val="27"/>
          <w:szCs w:val="27"/>
          <w:lang w:eastAsia="en-GB"/>
          <w14:ligatures w14:val="none"/>
        </w:rPr>
        <w:t>Fragmented Compliance Ownership</w:t>
      </w:r>
    </w:p>
    <w:p w14:paraId="007D265B"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This is the root cause that underpins most of the triggers above. Not the missed report itself, but the fact that nobody clearly owned the obligation to file it. Not the incomplete file, but the fact that no system flagged it as incomplete.</w:t>
      </w:r>
    </w:p>
    <w:p w14:paraId="5C35177F"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 xml:space="preserve">In most organisations, immigration compliance sits awkwardly between HR, legal, operations, and finance. HR assumes legal is handling reporting. Legal assumes HR is managing records. Operational managers don't know sponsor duties exist. The SMS has a named Level 1 User who left the business eighteen months ago. There is no internal audit </w:t>
      </w:r>
      <w:r w:rsidRPr="004C4955">
        <w:rPr>
          <w:rFonts w:ascii="Times New Roman" w:eastAsia="Times New Roman" w:hAnsi="Times New Roman" w:cs="Times New Roman"/>
          <w:kern w:val="0"/>
          <w:lang w:eastAsia="en-GB"/>
          <w14:ligatures w14:val="none"/>
        </w:rPr>
        <w:lastRenderedPageBreak/>
        <w:t>process. Compliance depends on institutional memory and the diligence of individual employees rather than on systems.</w:t>
      </w:r>
    </w:p>
    <w:p w14:paraId="7BD343F1"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The Home Office does not see this as unfortunate. It sees it as a reason to withdraw sponsor status.</w:t>
      </w:r>
    </w:p>
    <w:p w14:paraId="72E273ED" w14:textId="77777777" w:rsidR="004C4955" w:rsidRPr="004C4955" w:rsidRDefault="004C4955" w:rsidP="004C495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C4955">
        <w:rPr>
          <w:rFonts w:ascii="Times New Roman" w:eastAsia="Times New Roman" w:hAnsi="Times New Roman" w:cs="Times New Roman"/>
          <w:b/>
          <w:bCs/>
          <w:kern w:val="0"/>
          <w:sz w:val="36"/>
          <w:szCs w:val="36"/>
          <w:lang w:eastAsia="en-GB"/>
          <w14:ligatures w14:val="none"/>
        </w:rPr>
        <w:t>What Revocation Actually Costs</w:t>
      </w:r>
    </w:p>
    <w:p w14:paraId="74864334"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Employers tend to think about revocation in regulatory terms. The commercial reality is often worse than the compliance event itself.</w:t>
      </w:r>
    </w:p>
    <w:p w14:paraId="5DCD28AF" w14:textId="77777777" w:rsidR="004C4955" w:rsidRPr="004C4955" w:rsidRDefault="004C4955" w:rsidP="004C495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4955">
        <w:rPr>
          <w:rFonts w:ascii="Times New Roman" w:eastAsia="Times New Roman" w:hAnsi="Times New Roman" w:cs="Times New Roman"/>
          <w:b/>
          <w:bCs/>
          <w:kern w:val="0"/>
          <w:sz w:val="27"/>
          <w:szCs w:val="27"/>
          <w:lang w:eastAsia="en-GB"/>
          <w14:ligatures w14:val="none"/>
        </w:rPr>
        <w:t>Direct Costs</w:t>
      </w:r>
    </w:p>
    <w:p w14:paraId="229EB916"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 xml:space="preserve">The immediate financial exposure includes legal and advisory fees for any administrative review challenge, recruitment rebuild costs for roles that can no longer be filled through sponsorship, emergency agency or contractor spend to cover staffing gaps, and wasted </w:t>
      </w:r>
      <w:proofErr w:type="spellStart"/>
      <w:r w:rsidRPr="004C4955">
        <w:rPr>
          <w:rFonts w:ascii="Times New Roman" w:eastAsia="Times New Roman" w:hAnsi="Times New Roman" w:cs="Times New Roman"/>
          <w:kern w:val="0"/>
          <w:lang w:eastAsia="en-GB"/>
          <w14:ligatures w14:val="none"/>
        </w:rPr>
        <w:t>CoS</w:t>
      </w:r>
      <w:proofErr w:type="spellEnd"/>
      <w:r w:rsidRPr="004C4955">
        <w:rPr>
          <w:rFonts w:ascii="Times New Roman" w:eastAsia="Times New Roman" w:hAnsi="Times New Roman" w:cs="Times New Roman"/>
          <w:kern w:val="0"/>
          <w:lang w:eastAsia="en-GB"/>
          <w14:ligatures w14:val="none"/>
        </w:rPr>
        <w:t xml:space="preserve"> allocation fees for certificates that were assigned but can never be actioned. For sponsored workers who are curtailed, there may also be employment law considerations — particularly where notice periods, contractual commitments, or relocation arrangements are affected.</w:t>
      </w:r>
    </w:p>
    <w:p w14:paraId="3E2F4FF8" w14:textId="77777777" w:rsidR="004C4955" w:rsidRPr="004C4955" w:rsidRDefault="004C4955" w:rsidP="004C495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4955">
        <w:rPr>
          <w:rFonts w:ascii="Times New Roman" w:eastAsia="Times New Roman" w:hAnsi="Times New Roman" w:cs="Times New Roman"/>
          <w:b/>
          <w:bCs/>
          <w:kern w:val="0"/>
          <w:sz w:val="27"/>
          <w:szCs w:val="27"/>
          <w:lang w:eastAsia="en-GB"/>
          <w14:ligatures w14:val="none"/>
        </w:rPr>
        <w:t>Workforce Disruption</w:t>
      </w:r>
    </w:p>
    <w:p w14:paraId="381BA1CE"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Revocation doesn't just prevent future hiring. It destabilises your existing sponsored workforce. Curtailment gives affected workers a limited window to find alternative sponsorship or leave the UK. In practice, this means your most internationally mobile employees — often in specialist or hard-to-fill roles — begin exploring alternatives immediately. The retention damage frequently extends beyond sponsored workers themselves, as teams fragment and institutional knowledge walks out the door.</w:t>
      </w:r>
    </w:p>
    <w:p w14:paraId="171B24F8" w14:textId="77777777" w:rsidR="004C4955" w:rsidRPr="004C4955" w:rsidRDefault="004C4955" w:rsidP="004C495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4955">
        <w:rPr>
          <w:rFonts w:ascii="Times New Roman" w:eastAsia="Times New Roman" w:hAnsi="Times New Roman" w:cs="Times New Roman"/>
          <w:b/>
          <w:bCs/>
          <w:kern w:val="0"/>
          <w:sz w:val="27"/>
          <w:szCs w:val="27"/>
          <w:lang w:eastAsia="en-GB"/>
          <w14:ligatures w14:val="none"/>
        </w:rPr>
        <w:t>Reapplication Costs and Constraints</w:t>
      </w:r>
    </w:p>
    <w:p w14:paraId="0765FC5D"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Revocation is not easily reversed. There is typically a cooling-off period before a fresh application can be submitted, and the Home Office will apply significantly heightened scrutiny to any organisation that has previously had a licence revoked. The reapplication itself requires demonstrating that the compliance failures have been genuinely resolved — which often means investing in new systems, processes, and governance structures before you can even apply. For mid-sized employers, the total cost of revocation — direct expenses, workforce disruption, productivity loss, reapplication investment — can comfortably reach six figures.</w:t>
      </w:r>
    </w:p>
    <w:p w14:paraId="6E8F2D16" w14:textId="77777777" w:rsidR="004C4955" w:rsidRPr="004C4955" w:rsidRDefault="004C4955" w:rsidP="004C495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4955">
        <w:rPr>
          <w:rFonts w:ascii="Times New Roman" w:eastAsia="Times New Roman" w:hAnsi="Times New Roman" w:cs="Times New Roman"/>
          <w:b/>
          <w:bCs/>
          <w:kern w:val="0"/>
          <w:sz w:val="27"/>
          <w:szCs w:val="27"/>
          <w:lang w:eastAsia="en-GB"/>
          <w14:ligatures w14:val="none"/>
        </w:rPr>
        <w:t>Reputational Damage</w:t>
      </w:r>
    </w:p>
    <w:p w14:paraId="05C192C4"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Internally, revocation raises difficult questions about governance, leadership oversight, and compliance discipline. Externally, it can affect client confidence, investor perception, and the organisation's ability to attract talent. In regulated sectors, it may also trigger scrutiny from other regulators who view immigration compliance as an indicator of broader operational governance.</w:t>
      </w:r>
    </w:p>
    <w:p w14:paraId="6E2820B9" w14:textId="77777777" w:rsidR="004C4955" w:rsidRPr="004C4955" w:rsidRDefault="004C4955" w:rsidP="004C495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C4955">
        <w:rPr>
          <w:rFonts w:ascii="Times New Roman" w:eastAsia="Times New Roman" w:hAnsi="Times New Roman" w:cs="Times New Roman"/>
          <w:b/>
          <w:bCs/>
          <w:kern w:val="0"/>
          <w:sz w:val="36"/>
          <w:szCs w:val="36"/>
          <w:lang w:eastAsia="en-GB"/>
          <w14:ligatures w14:val="none"/>
        </w:rPr>
        <w:lastRenderedPageBreak/>
        <w:t>The Quarterly Compliance Audit: A Practical Framework</w:t>
      </w:r>
    </w:p>
    <w:p w14:paraId="147C49E7"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The employers who avoid revocation are not the ones who respond best to enforcement action. They are the ones who surface and fix problems before regulators ever see them.</w:t>
      </w:r>
    </w:p>
    <w:p w14:paraId="7F2BDD95"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This framework is designed to be run quarterly by whoever owns sponsor compliance in your organisation. It should take half a day, not a week. The point is not to produce a report — it is to identify gaps while they are still correctable.</w:t>
      </w:r>
    </w:p>
    <w:p w14:paraId="50E0A5F3" w14:textId="77777777" w:rsidR="004C4955" w:rsidRPr="004C4955" w:rsidRDefault="004C4955" w:rsidP="004C495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4955">
        <w:rPr>
          <w:rFonts w:ascii="Times New Roman" w:eastAsia="Times New Roman" w:hAnsi="Times New Roman" w:cs="Times New Roman"/>
          <w:b/>
          <w:bCs/>
          <w:kern w:val="0"/>
          <w:sz w:val="27"/>
          <w:szCs w:val="27"/>
          <w:lang w:eastAsia="en-GB"/>
          <w14:ligatures w14:val="none"/>
        </w:rPr>
        <w:t>Reporting Obligations</w:t>
      </w:r>
    </w:p>
    <w:p w14:paraId="554B28D4"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Pull a list of all sponsored workers. For each, verify: have all reportable events in the last quarter actually been reported? Resignations, dismissals, absences exceeding 10 consecutive working days, salary changes, role changes — cross-reference against HR records and payroll. The most common gap is between HR knowing something happened and the SMS being updated to reflect it.</w:t>
      </w:r>
    </w:p>
    <w:p w14:paraId="3F6A26C8" w14:textId="77777777" w:rsidR="004C4955" w:rsidRPr="004C4955" w:rsidRDefault="004C4955" w:rsidP="004C495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4955">
        <w:rPr>
          <w:rFonts w:ascii="Times New Roman" w:eastAsia="Times New Roman" w:hAnsi="Times New Roman" w:cs="Times New Roman"/>
          <w:b/>
          <w:bCs/>
          <w:kern w:val="0"/>
          <w:sz w:val="27"/>
          <w:szCs w:val="27"/>
          <w:lang w:eastAsia="en-GB"/>
          <w14:ligatures w14:val="none"/>
        </w:rPr>
        <w:t>Employee Records</w:t>
      </w:r>
    </w:p>
    <w:p w14:paraId="665E915C"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 xml:space="preserve">Select a random sample of sponsored worker files — at least 20%, or all of them if you have fewer than 25. For each, check: passport copy on file and current, right to work evidence complete and in date, employment contract matching the </w:t>
      </w:r>
      <w:proofErr w:type="spellStart"/>
      <w:r w:rsidRPr="004C4955">
        <w:rPr>
          <w:rFonts w:ascii="Times New Roman" w:eastAsia="Times New Roman" w:hAnsi="Times New Roman" w:cs="Times New Roman"/>
          <w:kern w:val="0"/>
          <w:lang w:eastAsia="en-GB"/>
          <w14:ligatures w14:val="none"/>
        </w:rPr>
        <w:t>CoS</w:t>
      </w:r>
      <w:proofErr w:type="spellEnd"/>
      <w:r w:rsidRPr="004C4955">
        <w:rPr>
          <w:rFonts w:ascii="Times New Roman" w:eastAsia="Times New Roman" w:hAnsi="Times New Roman" w:cs="Times New Roman"/>
          <w:kern w:val="0"/>
          <w:lang w:eastAsia="en-GB"/>
          <w14:ligatures w14:val="none"/>
        </w:rPr>
        <w:t xml:space="preserve"> details, salary evidence consistent with what was declared, contact details current. If you cannot assemble a complete file for any sponsored worker within 15 minutes, your records are not audit-ready.</w:t>
      </w:r>
    </w:p>
    <w:p w14:paraId="54FB53EE" w14:textId="77777777" w:rsidR="004C4955" w:rsidRPr="004C4955" w:rsidRDefault="004C4955" w:rsidP="004C495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4955">
        <w:rPr>
          <w:rFonts w:ascii="Times New Roman" w:eastAsia="Times New Roman" w:hAnsi="Times New Roman" w:cs="Times New Roman"/>
          <w:b/>
          <w:bCs/>
          <w:kern w:val="0"/>
          <w:sz w:val="27"/>
          <w:szCs w:val="27"/>
          <w:lang w:eastAsia="en-GB"/>
          <w14:ligatures w14:val="none"/>
        </w:rPr>
        <w:t>SMS Governance</w:t>
      </w:r>
    </w:p>
    <w:p w14:paraId="48CFC5AD"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Confirm that all named SMS users are still with the organisation and still in roles where they can discharge their responsibilities. Verify that the authorising officer, Level 1 User, and Level 2 Users are correctly recorded. Check that business details — registered address, trading name, key personnel — are current. SMS governance failures are among the easiest problems to fix and among the most common to overlook.</w:t>
      </w:r>
    </w:p>
    <w:p w14:paraId="65DF4D1F" w14:textId="77777777" w:rsidR="004C4955" w:rsidRPr="004C4955" w:rsidRDefault="004C4955" w:rsidP="004C495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4955">
        <w:rPr>
          <w:rFonts w:ascii="Times New Roman" w:eastAsia="Times New Roman" w:hAnsi="Times New Roman" w:cs="Times New Roman"/>
          <w:b/>
          <w:bCs/>
          <w:kern w:val="0"/>
          <w:sz w:val="27"/>
          <w:szCs w:val="27"/>
          <w:lang w:eastAsia="en-GB"/>
          <w14:ligatures w14:val="none"/>
        </w:rPr>
        <w:t>Right to Work Controls</w:t>
      </w:r>
    </w:p>
    <w:p w14:paraId="429E7ED8"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Review your right to work checking process end-to-end. Are initial checks being completed before employment starts? Are follow-up checks scheduled and tracked for employees with time-limited permission? Is there a documented audit trail? Is there a named process owner? If the answer to any of these is "I think so, but I'd need to check," the process is not robust enough.</w:t>
      </w:r>
    </w:p>
    <w:p w14:paraId="5575037A" w14:textId="77777777" w:rsidR="004C4955" w:rsidRPr="004C4955" w:rsidRDefault="004C4955" w:rsidP="004C495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4955">
        <w:rPr>
          <w:rFonts w:ascii="Times New Roman" w:eastAsia="Times New Roman" w:hAnsi="Times New Roman" w:cs="Times New Roman"/>
          <w:b/>
          <w:bCs/>
          <w:kern w:val="0"/>
          <w:sz w:val="27"/>
          <w:szCs w:val="27"/>
          <w:lang w:eastAsia="en-GB"/>
          <w14:ligatures w14:val="none"/>
        </w:rPr>
        <w:t>Vacancy Integrity</w:t>
      </w:r>
    </w:p>
    <w:p w14:paraId="05134574"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 xml:space="preserve">For each currently sponsored role, verify that the employee's actual duties match what was described on the </w:t>
      </w:r>
      <w:proofErr w:type="spellStart"/>
      <w:r w:rsidRPr="004C4955">
        <w:rPr>
          <w:rFonts w:ascii="Times New Roman" w:eastAsia="Times New Roman" w:hAnsi="Times New Roman" w:cs="Times New Roman"/>
          <w:kern w:val="0"/>
          <w:lang w:eastAsia="en-GB"/>
          <w14:ligatures w14:val="none"/>
        </w:rPr>
        <w:t>CoS</w:t>
      </w:r>
      <w:proofErr w:type="spellEnd"/>
      <w:r w:rsidRPr="004C4955">
        <w:rPr>
          <w:rFonts w:ascii="Times New Roman" w:eastAsia="Times New Roman" w:hAnsi="Times New Roman" w:cs="Times New Roman"/>
          <w:kern w:val="0"/>
          <w:lang w:eastAsia="en-GB"/>
          <w14:ligatures w14:val="none"/>
        </w:rPr>
        <w:t xml:space="preserve"> application, that the salary being paid matches what was declared, and that the SOC code is still appropriate. Role drift — where duties evolve organically away from what was originally sponsored — is one of the hardest issues to catch without deliberate periodic review.</w:t>
      </w:r>
    </w:p>
    <w:p w14:paraId="4F5C165B" w14:textId="77777777" w:rsidR="004C4955" w:rsidRPr="004C4955" w:rsidRDefault="004C4955" w:rsidP="004C4955">
      <w:pPr>
        <w:spacing w:before="100" w:beforeAutospacing="1" w:after="100" w:afterAutospacing="1"/>
        <w:outlineLvl w:val="2"/>
        <w:rPr>
          <w:rFonts w:ascii="Times New Roman" w:eastAsia="Times New Roman" w:hAnsi="Times New Roman" w:cs="Times New Roman"/>
          <w:b/>
          <w:bCs/>
          <w:kern w:val="0"/>
          <w:sz w:val="27"/>
          <w:szCs w:val="27"/>
          <w:lang w:eastAsia="en-GB"/>
          <w14:ligatures w14:val="none"/>
        </w:rPr>
      </w:pPr>
      <w:r w:rsidRPr="004C4955">
        <w:rPr>
          <w:rFonts w:ascii="Times New Roman" w:eastAsia="Times New Roman" w:hAnsi="Times New Roman" w:cs="Times New Roman"/>
          <w:b/>
          <w:bCs/>
          <w:kern w:val="0"/>
          <w:sz w:val="27"/>
          <w:szCs w:val="27"/>
          <w:lang w:eastAsia="en-GB"/>
          <w14:ligatures w14:val="none"/>
        </w:rPr>
        <w:lastRenderedPageBreak/>
        <w:t>Organisational Changes</w:t>
      </w:r>
    </w:p>
    <w:p w14:paraId="1AD28923"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Has anything changed in the last quarter that should have been reported? New directors, ownership changes, office moves, restructures, trading name changes? Map these against SMS reporting requirements and confirm notifications were filed.</w:t>
      </w:r>
    </w:p>
    <w:p w14:paraId="19E3C2A8"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If this audit surfaces no issues, you have reasonable confidence in your compliance position. If it surfaces problems, you have found them on your own terms — which is always preferable to the Home Office finding them on theirs.</w:t>
      </w:r>
    </w:p>
    <w:p w14:paraId="51AF70AF" w14:textId="77777777" w:rsidR="004C4955" w:rsidRPr="004C4955" w:rsidRDefault="004C4955" w:rsidP="004C4955">
      <w:pPr>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 xml:space="preserve">&lt;!-- Internal link placeholder: [How to prepare for a Home Office compliance visit →](/blog/home-office-compliance-visit-preparation) --&gt; </w:t>
      </w:r>
    </w:p>
    <w:p w14:paraId="5282D89E" w14:textId="77777777" w:rsidR="004C4955" w:rsidRPr="004C4955" w:rsidRDefault="004C4955" w:rsidP="004C495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C4955">
        <w:rPr>
          <w:rFonts w:ascii="Times New Roman" w:eastAsia="Times New Roman" w:hAnsi="Times New Roman" w:cs="Times New Roman"/>
          <w:b/>
          <w:bCs/>
          <w:kern w:val="0"/>
          <w:sz w:val="36"/>
          <w:szCs w:val="36"/>
          <w:lang w:eastAsia="en-GB"/>
          <w14:ligatures w14:val="none"/>
        </w:rPr>
        <w:t xml:space="preserve">How </w:t>
      </w:r>
      <w:proofErr w:type="spellStart"/>
      <w:r w:rsidRPr="004C4955">
        <w:rPr>
          <w:rFonts w:ascii="Times New Roman" w:eastAsia="Times New Roman" w:hAnsi="Times New Roman" w:cs="Times New Roman"/>
          <w:b/>
          <w:bCs/>
          <w:kern w:val="0"/>
          <w:sz w:val="36"/>
          <w:szCs w:val="36"/>
          <w:lang w:eastAsia="en-GB"/>
          <w14:ligatures w14:val="none"/>
        </w:rPr>
        <w:t>SoftHire</w:t>
      </w:r>
      <w:proofErr w:type="spellEnd"/>
      <w:r w:rsidRPr="004C4955">
        <w:rPr>
          <w:rFonts w:ascii="Times New Roman" w:eastAsia="Times New Roman" w:hAnsi="Times New Roman" w:cs="Times New Roman"/>
          <w:b/>
          <w:bCs/>
          <w:kern w:val="0"/>
          <w:sz w:val="36"/>
          <w:szCs w:val="36"/>
          <w:lang w:eastAsia="en-GB"/>
          <w14:ligatures w14:val="none"/>
        </w:rPr>
        <w:t xml:space="preserve"> Helps</w:t>
      </w:r>
    </w:p>
    <w:p w14:paraId="00BD0696"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Every revocation trigger described in this article traces back to the same structural problem: compliance obligations managed through manual processes, institutional memory, and systems that were never designed for regulatory oversight.</w:t>
      </w:r>
    </w:p>
    <w:p w14:paraId="6EB24C28"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4C4955">
        <w:rPr>
          <w:rFonts w:ascii="Times New Roman" w:eastAsia="Times New Roman" w:hAnsi="Times New Roman" w:cs="Times New Roman"/>
          <w:kern w:val="0"/>
          <w:lang w:eastAsia="en-GB"/>
          <w14:ligatures w14:val="none"/>
        </w:rPr>
        <w:t>SoftHire</w:t>
      </w:r>
      <w:proofErr w:type="spellEnd"/>
      <w:r w:rsidRPr="004C4955">
        <w:rPr>
          <w:rFonts w:ascii="Times New Roman" w:eastAsia="Times New Roman" w:hAnsi="Times New Roman" w:cs="Times New Roman"/>
          <w:kern w:val="0"/>
          <w:lang w:eastAsia="en-GB"/>
          <w14:ligatures w14:val="none"/>
        </w:rPr>
        <w:t xml:space="preserve"> replaces that fragile infrastructure with sponsor compliance systems built around how Home Office obligations actually work:</w:t>
      </w:r>
    </w:p>
    <w:p w14:paraId="4920860E" w14:textId="77777777" w:rsidR="004C4955" w:rsidRPr="004C4955" w:rsidRDefault="004C4955" w:rsidP="004C4955">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b/>
          <w:bCs/>
          <w:kern w:val="0"/>
          <w:lang w:eastAsia="en-GB"/>
          <w14:ligatures w14:val="none"/>
        </w:rPr>
        <w:t>Automated reporting workflows</w:t>
      </w:r>
      <w:r w:rsidRPr="004C4955">
        <w:rPr>
          <w:rFonts w:ascii="Times New Roman" w:eastAsia="Times New Roman" w:hAnsi="Times New Roman" w:cs="Times New Roman"/>
          <w:kern w:val="0"/>
          <w:lang w:eastAsia="en-GB"/>
          <w14:ligatures w14:val="none"/>
        </w:rPr>
        <w:t xml:space="preserve"> that surface reportable events from HR data and flag them before deadlines pass — directly addressing the systematic reporting failures that drive most revocations</w:t>
      </w:r>
    </w:p>
    <w:p w14:paraId="7FC39F46" w14:textId="77777777" w:rsidR="004C4955" w:rsidRPr="004C4955" w:rsidRDefault="004C4955" w:rsidP="004C4955">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b/>
          <w:bCs/>
          <w:kern w:val="0"/>
          <w:lang w:eastAsia="en-GB"/>
          <w14:ligatures w14:val="none"/>
        </w:rPr>
        <w:t>Structured employee records</w:t>
      </w:r>
      <w:r w:rsidRPr="004C4955">
        <w:rPr>
          <w:rFonts w:ascii="Times New Roman" w:eastAsia="Times New Roman" w:hAnsi="Times New Roman" w:cs="Times New Roman"/>
          <w:kern w:val="0"/>
          <w:lang w:eastAsia="en-GB"/>
          <w14:ligatures w14:val="none"/>
        </w:rPr>
        <w:t xml:space="preserve"> mapped to Home Office audit requirements, with completeness tracking that identifies gaps before a compliance visit does</w:t>
      </w:r>
    </w:p>
    <w:p w14:paraId="0EC2389E" w14:textId="77777777" w:rsidR="004C4955" w:rsidRPr="004C4955" w:rsidRDefault="004C4955" w:rsidP="004C4955">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b/>
          <w:bCs/>
          <w:kern w:val="0"/>
          <w:lang w:eastAsia="en-GB"/>
          <w14:ligatures w14:val="none"/>
        </w:rPr>
        <w:t>SMS governance monitoring</w:t>
      </w:r>
      <w:r w:rsidRPr="004C4955">
        <w:rPr>
          <w:rFonts w:ascii="Times New Roman" w:eastAsia="Times New Roman" w:hAnsi="Times New Roman" w:cs="Times New Roman"/>
          <w:kern w:val="0"/>
          <w:lang w:eastAsia="en-GB"/>
          <w14:ligatures w14:val="none"/>
        </w:rPr>
        <w:t xml:space="preserve"> that tracks named users, business details, and organisational changes — closing the oversight gap that catches employers during corporate transitions</w:t>
      </w:r>
    </w:p>
    <w:p w14:paraId="4C02C65C" w14:textId="77777777" w:rsidR="004C4955" w:rsidRPr="004C4955" w:rsidRDefault="004C4955" w:rsidP="004C4955">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b/>
          <w:bCs/>
          <w:kern w:val="0"/>
          <w:lang w:eastAsia="en-GB"/>
          <w14:ligatures w14:val="none"/>
        </w:rPr>
        <w:t>Right to work compliance tracking</w:t>
      </w:r>
      <w:r w:rsidRPr="004C4955">
        <w:rPr>
          <w:rFonts w:ascii="Times New Roman" w:eastAsia="Times New Roman" w:hAnsi="Times New Roman" w:cs="Times New Roman"/>
          <w:kern w:val="0"/>
          <w:lang w:eastAsia="en-GB"/>
          <w14:ligatures w14:val="none"/>
        </w:rPr>
        <w:t xml:space="preserve"> with scheduled follow-up checks, documented audit trails, and clear process ownership</w:t>
      </w:r>
    </w:p>
    <w:p w14:paraId="2180A3C5" w14:textId="77777777" w:rsidR="004C4955" w:rsidRPr="004C4955" w:rsidRDefault="004C4955" w:rsidP="004C4955">
      <w:pPr>
        <w:numPr>
          <w:ilvl w:val="0"/>
          <w:numId w:val="25"/>
        </w:num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b/>
          <w:bCs/>
          <w:kern w:val="0"/>
          <w:lang w:eastAsia="en-GB"/>
          <w14:ligatures w14:val="none"/>
        </w:rPr>
        <w:t>Quarterly audit support</w:t>
      </w:r>
      <w:r w:rsidRPr="004C4955">
        <w:rPr>
          <w:rFonts w:ascii="Times New Roman" w:eastAsia="Times New Roman" w:hAnsi="Times New Roman" w:cs="Times New Roman"/>
          <w:kern w:val="0"/>
          <w:lang w:eastAsia="en-GB"/>
          <w14:ligatures w14:val="none"/>
        </w:rPr>
        <w:t xml:space="preserve"> that makes the framework described above operational rather than aspirational</w:t>
      </w:r>
    </w:p>
    <w:p w14:paraId="5F178911"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The organisations that avoid revocation are not more diligent. They have infrastructure where others have spreadsheets.</w:t>
      </w:r>
    </w:p>
    <w:p w14:paraId="24F23C7A"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 xml:space="preserve">If you hold a sponsor licence and want to understand where your compliance gaps are, </w:t>
      </w:r>
      <w:hyperlink r:id="rId7" w:history="1">
        <w:r w:rsidRPr="004C4955">
          <w:rPr>
            <w:rFonts w:ascii="Times New Roman" w:eastAsia="Times New Roman" w:hAnsi="Times New Roman" w:cs="Times New Roman"/>
            <w:color w:val="0000FF"/>
            <w:kern w:val="0"/>
            <w:u w:val="single"/>
            <w:lang w:eastAsia="en-GB"/>
            <w14:ligatures w14:val="none"/>
          </w:rPr>
          <w:t>get in touch</w:t>
        </w:r>
      </w:hyperlink>
      <w:r w:rsidRPr="004C4955">
        <w:rPr>
          <w:rFonts w:ascii="Times New Roman" w:eastAsia="Times New Roman" w:hAnsi="Times New Roman" w:cs="Times New Roman"/>
          <w:kern w:val="0"/>
          <w:lang w:eastAsia="en-GB"/>
          <w14:ligatures w14:val="none"/>
        </w:rPr>
        <w:t>.</w:t>
      </w:r>
    </w:p>
    <w:p w14:paraId="7C06CBFD" w14:textId="77777777" w:rsidR="004C4955" w:rsidRPr="004C4955" w:rsidRDefault="004C4955" w:rsidP="004C4955">
      <w:pPr>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 xml:space="preserve">&lt;!-- Internal link placeholder: [Understanding your sponsor licence obligations →](/blog/sponsor-licence-duties-guide) --&gt; &lt;!-- Internal link placeholder: [Certificate of Sponsorship: what employers need to know →](/blog/certificate-of-sponsorship-guide) --&gt; </w:t>
      </w:r>
    </w:p>
    <w:p w14:paraId="2BCCA78A" w14:textId="77777777" w:rsidR="004C4955" w:rsidRPr="004C4955" w:rsidRDefault="004C4955" w:rsidP="004C4955">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4C4955">
        <w:rPr>
          <w:rFonts w:ascii="Times New Roman" w:eastAsia="Times New Roman" w:hAnsi="Times New Roman" w:cs="Times New Roman"/>
          <w:b/>
          <w:bCs/>
          <w:kern w:val="0"/>
          <w:sz w:val="36"/>
          <w:szCs w:val="36"/>
          <w:lang w:eastAsia="en-GB"/>
          <w14:ligatures w14:val="none"/>
        </w:rPr>
        <w:t>Frequently Asked Questions</w:t>
      </w:r>
    </w:p>
    <w:p w14:paraId="65443212"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b/>
          <w:bCs/>
          <w:kern w:val="0"/>
          <w:lang w:eastAsia="en-GB"/>
          <w14:ligatures w14:val="none"/>
        </w:rPr>
        <w:t>How long is the cooling-off period before I can reapply after revocation?</w:t>
      </w:r>
    </w:p>
    <w:p w14:paraId="0441CDAF"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lastRenderedPageBreak/>
        <w:t>The standard cooling-off period is 12 months from the date of revocation, though this can vary depending on the circumstances. During this period, you cannot submit a new sponsor licence application. When you do reapply, the Home Office will expect evidence that the compliance failures have been genuinely remedied — which typically means demonstrable investment in new processes and systems, not just assurances.</w:t>
      </w:r>
    </w:p>
    <w:p w14:paraId="6B7C70B0"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b/>
          <w:bCs/>
          <w:kern w:val="0"/>
          <w:lang w:eastAsia="en-GB"/>
          <w14:ligatures w14:val="none"/>
        </w:rPr>
        <w:t>Can I transfer sponsored workers to another group entity to protect them?</w:t>
      </w:r>
    </w:p>
    <w:p w14:paraId="1FFC0008"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If you have a connected entity that holds its own sponsor licence, it may be possible for that entity to sponsor affected workers. However, this requires that entity to meet all sponsorship requirements independently — it is not an automatic transfer. The timing is also critical, as curtailment windows are limited. This needs to be planned and executed quickly, with specialist advice.</w:t>
      </w:r>
    </w:p>
    <w:p w14:paraId="219A028F"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b/>
          <w:bCs/>
          <w:kern w:val="0"/>
          <w:lang w:eastAsia="en-GB"/>
          <w14:ligatures w14:val="none"/>
        </w:rPr>
        <w:t>What happens to Certificates of Sponsorship I've already assigned but not yet used?</w:t>
      </w:r>
    </w:p>
    <w:p w14:paraId="2C60DEA6"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 xml:space="preserve">Unused </w:t>
      </w:r>
      <w:proofErr w:type="spellStart"/>
      <w:r w:rsidRPr="004C4955">
        <w:rPr>
          <w:rFonts w:ascii="Times New Roman" w:eastAsia="Times New Roman" w:hAnsi="Times New Roman" w:cs="Times New Roman"/>
          <w:kern w:val="0"/>
          <w:lang w:eastAsia="en-GB"/>
          <w14:ligatures w14:val="none"/>
        </w:rPr>
        <w:t>CoS</w:t>
      </w:r>
      <w:proofErr w:type="spellEnd"/>
      <w:r w:rsidRPr="004C4955">
        <w:rPr>
          <w:rFonts w:ascii="Times New Roman" w:eastAsia="Times New Roman" w:hAnsi="Times New Roman" w:cs="Times New Roman"/>
          <w:kern w:val="0"/>
          <w:lang w:eastAsia="en-GB"/>
          <w14:ligatures w14:val="none"/>
        </w:rPr>
        <w:t xml:space="preserve"> are effectively cancelled upon revocation. The allocation is lost, along with any associated fees. For employers with significant </w:t>
      </w:r>
      <w:proofErr w:type="spellStart"/>
      <w:r w:rsidRPr="004C4955">
        <w:rPr>
          <w:rFonts w:ascii="Times New Roman" w:eastAsia="Times New Roman" w:hAnsi="Times New Roman" w:cs="Times New Roman"/>
          <w:kern w:val="0"/>
          <w:lang w:eastAsia="en-GB"/>
          <w14:ligatures w14:val="none"/>
        </w:rPr>
        <w:t>CoS</w:t>
      </w:r>
      <w:proofErr w:type="spellEnd"/>
      <w:r w:rsidRPr="004C4955">
        <w:rPr>
          <w:rFonts w:ascii="Times New Roman" w:eastAsia="Times New Roman" w:hAnsi="Times New Roman" w:cs="Times New Roman"/>
          <w:kern w:val="0"/>
          <w:lang w:eastAsia="en-GB"/>
          <w14:ligatures w14:val="none"/>
        </w:rPr>
        <w:t xml:space="preserve"> allocations in progress, this represents an immediate sunk cost.</w:t>
      </w:r>
    </w:p>
    <w:p w14:paraId="1B4A50B6"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b/>
          <w:bCs/>
          <w:kern w:val="0"/>
          <w:lang w:eastAsia="en-GB"/>
          <w14:ligatures w14:val="none"/>
        </w:rPr>
        <w:t>Can I challenge a revocation decision?</w:t>
      </w:r>
    </w:p>
    <w:p w14:paraId="0D0717C2"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You can request an administrative review of the decision, but this is not an appeal in the traditional sense. The review is conducted by a different Home Office caseworker and assesses whether the original decision was made in accordance with the rules and guidance. It is not a fresh consideration of the merits. The success rate is not high, and the process does not suspend the effects of revocation while it is ongoing.</w:t>
      </w:r>
    </w:p>
    <w:p w14:paraId="64272572"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b/>
          <w:bCs/>
          <w:kern w:val="0"/>
          <w:lang w:eastAsia="en-GB"/>
          <w14:ligatures w14:val="none"/>
        </w:rPr>
        <w:t>Are certain sectors more likely to face revocation?</w:t>
      </w:r>
    </w:p>
    <w:p w14:paraId="4CD47A8D"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Sectors with historically higher rates of compliance issues — including care, hospitality, food processing, and logistics — tend to face more frequent and intensive scrutiny. Multi-site operators in these sectors are particularly exposed because compliance quality often varies significantly between head office and individual sites. However, revocation can and does affect employers across all sectors.</w:t>
      </w:r>
    </w:p>
    <w:p w14:paraId="0E6E61E5"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b/>
          <w:bCs/>
          <w:kern w:val="0"/>
          <w:lang w:eastAsia="en-GB"/>
          <w14:ligatures w14:val="none"/>
        </w:rPr>
        <w:t>Does revocation affect my ability to hire EU nationals?</w:t>
      </w:r>
    </w:p>
    <w:p w14:paraId="3BAE4C88" w14:textId="77777777"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r w:rsidRPr="004C4955">
        <w:rPr>
          <w:rFonts w:ascii="Times New Roman" w:eastAsia="Times New Roman" w:hAnsi="Times New Roman" w:cs="Times New Roman"/>
          <w:kern w:val="0"/>
          <w:lang w:eastAsia="en-GB"/>
          <w14:ligatures w14:val="none"/>
        </w:rPr>
        <w:t>No. Post-Brexit immigration rules require sponsorship for most overseas nationals, but EU nationals who hold settled or pre-settled status do not require sponsorship. Revocation affects your ability to sponsor new workers and maintain existing sponsorships — it does not prevent you from hiring individuals who already have independent permission to work in the UK.</w:t>
      </w:r>
    </w:p>
    <w:p w14:paraId="28BADC0B" w14:textId="77777777" w:rsidR="004C4955" w:rsidRPr="004C4955" w:rsidRDefault="0007524D" w:rsidP="004C4955">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36018C7">
          <v:rect id="_x0000_i1025" alt="" style="width:451.3pt;height:.05pt;mso-width-percent:0;mso-height-percent:0;mso-width-percent:0;mso-height-percent:0" o:hralign="center" o:hrstd="t" o:hr="t" fillcolor="#a0a0a0" stroked="f"/>
        </w:pict>
      </w:r>
    </w:p>
    <w:p w14:paraId="23985549" w14:textId="32237BBB" w:rsidR="004C4955" w:rsidRPr="004C4955" w:rsidRDefault="004C4955" w:rsidP="004C4955">
      <w:pPr>
        <w:spacing w:before="100" w:beforeAutospacing="1" w:after="100" w:afterAutospacing="1"/>
        <w:rPr>
          <w:rFonts w:ascii="Times New Roman" w:eastAsia="Times New Roman" w:hAnsi="Times New Roman" w:cs="Times New Roman"/>
          <w:kern w:val="0"/>
          <w:lang w:eastAsia="en-GB"/>
          <w14:ligatures w14:val="none"/>
        </w:rPr>
      </w:pPr>
      <w:proofErr w:type="spellStart"/>
      <w:r w:rsidRPr="004C4955">
        <w:rPr>
          <w:rFonts w:ascii="Times New Roman" w:eastAsia="Times New Roman" w:hAnsi="Times New Roman" w:cs="Times New Roman"/>
          <w:i/>
          <w:iCs/>
          <w:kern w:val="0"/>
          <w:lang w:eastAsia="en-GB"/>
          <w14:ligatures w14:val="none"/>
        </w:rPr>
        <w:t>SoftHire</w:t>
      </w:r>
      <w:proofErr w:type="spellEnd"/>
      <w:r w:rsidRPr="004C4955">
        <w:rPr>
          <w:rFonts w:ascii="Times New Roman" w:eastAsia="Times New Roman" w:hAnsi="Times New Roman" w:cs="Times New Roman"/>
          <w:i/>
          <w:iCs/>
          <w:kern w:val="0"/>
          <w:lang w:eastAsia="en-GB"/>
          <w14:ligatures w14:val="none"/>
        </w:rPr>
        <w:t xml:space="preserve"> is an IAA-regulated immigration la</w:t>
      </w:r>
      <w:r w:rsidR="009A1D14">
        <w:rPr>
          <w:rFonts w:ascii="Times New Roman" w:eastAsia="Times New Roman" w:hAnsi="Times New Roman" w:cs="Times New Roman"/>
          <w:i/>
          <w:iCs/>
          <w:kern w:val="0"/>
          <w:lang w:eastAsia="en-GB"/>
          <w14:ligatures w14:val="none"/>
        </w:rPr>
        <w:t xml:space="preserve">w advisory </w:t>
      </w:r>
      <w:r w:rsidRPr="004C4955">
        <w:rPr>
          <w:rFonts w:ascii="Times New Roman" w:eastAsia="Times New Roman" w:hAnsi="Times New Roman" w:cs="Times New Roman"/>
          <w:i/>
          <w:iCs/>
          <w:kern w:val="0"/>
          <w:lang w:eastAsia="en-GB"/>
          <w14:ligatures w14:val="none"/>
        </w:rPr>
        <w:t xml:space="preserve">helping UK employers manage sponsor licence compliance through structured workflows and operational oversight. </w:t>
      </w:r>
      <w:hyperlink r:id="rId8" w:history="1">
        <w:r w:rsidRPr="004C4955">
          <w:rPr>
            <w:rFonts w:ascii="Times New Roman" w:eastAsia="Times New Roman" w:hAnsi="Times New Roman" w:cs="Times New Roman"/>
            <w:i/>
            <w:iCs/>
            <w:color w:val="0000FF"/>
            <w:kern w:val="0"/>
            <w:u w:val="single"/>
            <w:lang w:eastAsia="en-GB"/>
            <w14:ligatures w14:val="none"/>
          </w:rPr>
          <w:t>Learn more about how we work →</w:t>
        </w:r>
      </w:hyperlink>
    </w:p>
    <w:p w14:paraId="6241700B" w14:textId="77777777" w:rsidR="002741BA" w:rsidRDefault="002741BA"/>
    <w:sectPr w:rsidR="002741B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071640"/>
    <w:multiLevelType w:val="multilevel"/>
    <w:tmpl w:val="AA3C2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86D9C"/>
    <w:multiLevelType w:val="multilevel"/>
    <w:tmpl w:val="A322D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7B5D07"/>
    <w:multiLevelType w:val="multilevel"/>
    <w:tmpl w:val="4856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603CFC"/>
    <w:multiLevelType w:val="multilevel"/>
    <w:tmpl w:val="9C702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70736D"/>
    <w:multiLevelType w:val="multilevel"/>
    <w:tmpl w:val="F72C1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C3C43"/>
    <w:multiLevelType w:val="multilevel"/>
    <w:tmpl w:val="0D562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38C1DB5"/>
    <w:multiLevelType w:val="multilevel"/>
    <w:tmpl w:val="DE445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8E26C9"/>
    <w:multiLevelType w:val="multilevel"/>
    <w:tmpl w:val="4B2C4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B9D65EC"/>
    <w:multiLevelType w:val="multilevel"/>
    <w:tmpl w:val="C6FA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A17D99"/>
    <w:multiLevelType w:val="multilevel"/>
    <w:tmpl w:val="6F9AE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0B4B84"/>
    <w:multiLevelType w:val="multilevel"/>
    <w:tmpl w:val="7B1A3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AE48E4"/>
    <w:multiLevelType w:val="multilevel"/>
    <w:tmpl w:val="4DC8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F60A91"/>
    <w:multiLevelType w:val="multilevel"/>
    <w:tmpl w:val="28720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5FA197A"/>
    <w:multiLevelType w:val="multilevel"/>
    <w:tmpl w:val="09460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64C7814"/>
    <w:multiLevelType w:val="multilevel"/>
    <w:tmpl w:val="B964E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750CCF"/>
    <w:multiLevelType w:val="multilevel"/>
    <w:tmpl w:val="263AD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49C0A54"/>
    <w:multiLevelType w:val="multilevel"/>
    <w:tmpl w:val="F704F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56A672B"/>
    <w:multiLevelType w:val="multilevel"/>
    <w:tmpl w:val="69D4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2E346E"/>
    <w:multiLevelType w:val="multilevel"/>
    <w:tmpl w:val="57B4F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B904E32"/>
    <w:multiLevelType w:val="multilevel"/>
    <w:tmpl w:val="2D58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BB70A9A"/>
    <w:multiLevelType w:val="multilevel"/>
    <w:tmpl w:val="BE485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4A24C0"/>
    <w:multiLevelType w:val="multilevel"/>
    <w:tmpl w:val="3AD8E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535434"/>
    <w:multiLevelType w:val="multilevel"/>
    <w:tmpl w:val="47E48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B45735"/>
    <w:multiLevelType w:val="multilevel"/>
    <w:tmpl w:val="8BA0D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FF047B"/>
    <w:multiLevelType w:val="multilevel"/>
    <w:tmpl w:val="191A6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88588877">
    <w:abstractNumId w:val="1"/>
  </w:num>
  <w:num w:numId="2" w16cid:durableId="709889210">
    <w:abstractNumId w:val="0"/>
  </w:num>
  <w:num w:numId="3" w16cid:durableId="1742363106">
    <w:abstractNumId w:val="17"/>
  </w:num>
  <w:num w:numId="4" w16cid:durableId="152765356">
    <w:abstractNumId w:val="24"/>
  </w:num>
  <w:num w:numId="5" w16cid:durableId="634681001">
    <w:abstractNumId w:val="6"/>
  </w:num>
  <w:num w:numId="6" w16cid:durableId="24601158">
    <w:abstractNumId w:val="22"/>
  </w:num>
  <w:num w:numId="7" w16cid:durableId="1646541715">
    <w:abstractNumId w:val="23"/>
  </w:num>
  <w:num w:numId="8" w16cid:durableId="365954854">
    <w:abstractNumId w:val="9"/>
  </w:num>
  <w:num w:numId="9" w16cid:durableId="1165828440">
    <w:abstractNumId w:val="18"/>
  </w:num>
  <w:num w:numId="10" w16cid:durableId="2077043109">
    <w:abstractNumId w:val="16"/>
  </w:num>
  <w:num w:numId="11" w16cid:durableId="860508263">
    <w:abstractNumId w:val="10"/>
  </w:num>
  <w:num w:numId="12" w16cid:durableId="310209868">
    <w:abstractNumId w:val="12"/>
  </w:num>
  <w:num w:numId="13" w16cid:durableId="1677733883">
    <w:abstractNumId w:val="14"/>
  </w:num>
  <w:num w:numId="14" w16cid:durableId="446004369">
    <w:abstractNumId w:val="19"/>
  </w:num>
  <w:num w:numId="15" w16cid:durableId="1883590740">
    <w:abstractNumId w:val="8"/>
  </w:num>
  <w:num w:numId="16" w16cid:durableId="496191732">
    <w:abstractNumId w:val="15"/>
  </w:num>
  <w:num w:numId="17" w16cid:durableId="2032029404">
    <w:abstractNumId w:val="20"/>
  </w:num>
  <w:num w:numId="18" w16cid:durableId="2011978241">
    <w:abstractNumId w:val="7"/>
  </w:num>
  <w:num w:numId="19" w16cid:durableId="1912039092">
    <w:abstractNumId w:val="5"/>
  </w:num>
  <w:num w:numId="20" w16cid:durableId="1665283834">
    <w:abstractNumId w:val="13"/>
  </w:num>
  <w:num w:numId="21" w16cid:durableId="1870953362">
    <w:abstractNumId w:val="11"/>
  </w:num>
  <w:num w:numId="22" w16cid:durableId="993148398">
    <w:abstractNumId w:val="21"/>
  </w:num>
  <w:num w:numId="23" w16cid:durableId="352271698">
    <w:abstractNumId w:val="4"/>
  </w:num>
  <w:num w:numId="24" w16cid:durableId="1736202222">
    <w:abstractNumId w:val="3"/>
  </w:num>
  <w:num w:numId="25" w16cid:durableId="81614825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41BA"/>
    <w:rsid w:val="0007524D"/>
    <w:rsid w:val="001A350C"/>
    <w:rsid w:val="002741BA"/>
    <w:rsid w:val="00413167"/>
    <w:rsid w:val="004C4955"/>
    <w:rsid w:val="009A1D14"/>
    <w:rsid w:val="00A6434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5F035"/>
  <w15:chartTrackingRefBased/>
  <w15:docId w15:val="{2AA8701E-2741-8C4E-AFEB-7F62C85D9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741BA"/>
    <w:pPr>
      <w:spacing w:before="100" w:beforeAutospacing="1" w:after="100" w:afterAutospacing="1"/>
      <w:outlineLvl w:val="0"/>
    </w:pPr>
    <w:rPr>
      <w:rFonts w:ascii="Times New Roman" w:eastAsia="Times New Roman" w:hAnsi="Times New Roman" w:cs="Times New Roman"/>
      <w:b/>
      <w:bCs/>
      <w:kern w:val="36"/>
      <w:sz w:val="48"/>
      <w:szCs w:val="48"/>
      <w:lang w:eastAsia="en-GB"/>
      <w14:ligatures w14:val="none"/>
    </w:rPr>
  </w:style>
  <w:style w:type="paragraph" w:styleId="Heading2">
    <w:name w:val="heading 2"/>
    <w:basedOn w:val="Normal"/>
    <w:link w:val="Heading2Char"/>
    <w:uiPriority w:val="9"/>
    <w:qFormat/>
    <w:rsid w:val="002741BA"/>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2741BA"/>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41BA"/>
    <w:rPr>
      <w:rFonts w:ascii="Times New Roman" w:eastAsia="Times New Roman" w:hAnsi="Times New Roman" w:cs="Times New Roman"/>
      <w:b/>
      <w:bCs/>
      <w:kern w:val="36"/>
      <w:sz w:val="48"/>
      <w:szCs w:val="48"/>
      <w:lang w:eastAsia="en-GB"/>
      <w14:ligatures w14:val="none"/>
    </w:rPr>
  </w:style>
  <w:style w:type="character" w:customStyle="1" w:styleId="Heading2Char">
    <w:name w:val="Heading 2 Char"/>
    <w:basedOn w:val="DefaultParagraphFont"/>
    <w:link w:val="Heading2"/>
    <w:uiPriority w:val="9"/>
    <w:rsid w:val="002741BA"/>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2741BA"/>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2741BA"/>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2741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741BA"/>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2741BA"/>
    <w:rPr>
      <w:rFonts w:ascii="Courier New" w:eastAsia="Times New Roman" w:hAnsi="Courier New" w:cs="Courier New"/>
      <w:sz w:val="20"/>
      <w:szCs w:val="20"/>
    </w:rPr>
  </w:style>
  <w:style w:type="character" w:styleId="Strong">
    <w:name w:val="Strong"/>
    <w:basedOn w:val="DefaultParagraphFont"/>
    <w:uiPriority w:val="22"/>
    <w:qFormat/>
    <w:rsid w:val="002741BA"/>
    <w:rPr>
      <w:b/>
      <w:bCs/>
    </w:rPr>
  </w:style>
  <w:style w:type="character" w:styleId="Hyperlink">
    <w:name w:val="Hyperlink"/>
    <w:basedOn w:val="DefaultParagraphFont"/>
    <w:uiPriority w:val="99"/>
    <w:semiHidden/>
    <w:unhideWhenUsed/>
    <w:rsid w:val="004C4955"/>
    <w:rPr>
      <w:color w:val="0000FF"/>
      <w:u w:val="single"/>
    </w:rPr>
  </w:style>
  <w:style w:type="character" w:styleId="Emphasis">
    <w:name w:val="Emphasis"/>
    <w:basedOn w:val="DefaultParagraphFont"/>
    <w:uiPriority w:val="20"/>
    <w:qFormat/>
    <w:rsid w:val="004C495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0500446">
      <w:bodyDiv w:val="1"/>
      <w:marLeft w:val="0"/>
      <w:marRight w:val="0"/>
      <w:marTop w:val="0"/>
      <w:marBottom w:val="0"/>
      <w:divBdr>
        <w:top w:val="none" w:sz="0" w:space="0" w:color="auto"/>
        <w:left w:val="none" w:sz="0" w:space="0" w:color="auto"/>
        <w:bottom w:val="none" w:sz="0" w:space="0" w:color="auto"/>
        <w:right w:val="none" w:sz="0" w:space="0" w:color="auto"/>
      </w:divBdr>
      <w:divsChild>
        <w:div w:id="1260455126">
          <w:marLeft w:val="0"/>
          <w:marRight w:val="0"/>
          <w:marTop w:val="0"/>
          <w:marBottom w:val="0"/>
          <w:divBdr>
            <w:top w:val="none" w:sz="0" w:space="0" w:color="auto"/>
            <w:left w:val="none" w:sz="0" w:space="0" w:color="auto"/>
            <w:bottom w:val="none" w:sz="0" w:space="0" w:color="auto"/>
            <w:right w:val="none" w:sz="0" w:space="0" w:color="auto"/>
          </w:divBdr>
          <w:divsChild>
            <w:div w:id="1564025310">
              <w:marLeft w:val="0"/>
              <w:marRight w:val="0"/>
              <w:marTop w:val="0"/>
              <w:marBottom w:val="0"/>
              <w:divBdr>
                <w:top w:val="none" w:sz="0" w:space="0" w:color="auto"/>
                <w:left w:val="none" w:sz="0" w:space="0" w:color="auto"/>
                <w:bottom w:val="none" w:sz="0" w:space="0" w:color="auto"/>
                <w:right w:val="none" w:sz="0" w:space="0" w:color="auto"/>
              </w:divBdr>
              <w:divsChild>
                <w:div w:id="2004778759">
                  <w:marLeft w:val="0"/>
                  <w:marRight w:val="0"/>
                  <w:marTop w:val="0"/>
                  <w:marBottom w:val="0"/>
                  <w:divBdr>
                    <w:top w:val="none" w:sz="0" w:space="0" w:color="auto"/>
                    <w:left w:val="none" w:sz="0" w:space="0" w:color="auto"/>
                    <w:bottom w:val="none" w:sz="0" w:space="0" w:color="auto"/>
                    <w:right w:val="none" w:sz="0" w:space="0" w:color="auto"/>
                  </w:divBdr>
                  <w:divsChild>
                    <w:div w:id="439843061">
                      <w:marLeft w:val="0"/>
                      <w:marRight w:val="0"/>
                      <w:marTop w:val="0"/>
                      <w:marBottom w:val="0"/>
                      <w:divBdr>
                        <w:top w:val="none" w:sz="0" w:space="0" w:color="auto"/>
                        <w:left w:val="none" w:sz="0" w:space="0" w:color="auto"/>
                        <w:bottom w:val="none" w:sz="0" w:space="0" w:color="auto"/>
                        <w:right w:val="none" w:sz="0" w:space="0" w:color="auto"/>
                      </w:divBdr>
                      <w:divsChild>
                        <w:div w:id="905917895">
                          <w:marLeft w:val="0"/>
                          <w:marRight w:val="0"/>
                          <w:marTop w:val="0"/>
                          <w:marBottom w:val="0"/>
                          <w:divBdr>
                            <w:top w:val="none" w:sz="0" w:space="0" w:color="auto"/>
                            <w:left w:val="none" w:sz="0" w:space="0" w:color="auto"/>
                            <w:bottom w:val="none" w:sz="0" w:space="0" w:color="auto"/>
                            <w:right w:val="none" w:sz="0" w:space="0" w:color="auto"/>
                          </w:divBdr>
                          <w:divsChild>
                            <w:div w:id="1047265642">
                              <w:marLeft w:val="0"/>
                              <w:marRight w:val="0"/>
                              <w:marTop w:val="0"/>
                              <w:marBottom w:val="0"/>
                              <w:divBdr>
                                <w:top w:val="none" w:sz="0" w:space="0" w:color="auto"/>
                                <w:left w:val="none" w:sz="0" w:space="0" w:color="auto"/>
                                <w:bottom w:val="none" w:sz="0" w:space="0" w:color="auto"/>
                                <w:right w:val="none" w:sz="0" w:space="0" w:color="auto"/>
                              </w:divBdr>
                              <w:divsChild>
                                <w:div w:id="1656179799">
                                  <w:marLeft w:val="0"/>
                                  <w:marRight w:val="0"/>
                                  <w:marTop w:val="0"/>
                                  <w:marBottom w:val="0"/>
                                  <w:divBdr>
                                    <w:top w:val="none" w:sz="0" w:space="0" w:color="auto"/>
                                    <w:left w:val="none" w:sz="0" w:space="0" w:color="auto"/>
                                    <w:bottom w:val="none" w:sz="0" w:space="0" w:color="auto"/>
                                    <w:right w:val="none" w:sz="0" w:space="0" w:color="auto"/>
                                  </w:divBdr>
                                  <w:divsChild>
                                    <w:div w:id="1643998845">
                                      <w:marLeft w:val="0"/>
                                      <w:marRight w:val="0"/>
                                      <w:marTop w:val="0"/>
                                      <w:marBottom w:val="0"/>
                                      <w:divBdr>
                                        <w:top w:val="none" w:sz="0" w:space="0" w:color="auto"/>
                                        <w:left w:val="none" w:sz="0" w:space="0" w:color="auto"/>
                                        <w:bottom w:val="none" w:sz="0" w:space="0" w:color="auto"/>
                                        <w:right w:val="none" w:sz="0" w:space="0" w:color="auto"/>
                                      </w:divBdr>
                                      <w:divsChild>
                                        <w:div w:id="1264798764">
                                          <w:marLeft w:val="0"/>
                                          <w:marRight w:val="0"/>
                                          <w:marTop w:val="0"/>
                                          <w:marBottom w:val="0"/>
                                          <w:divBdr>
                                            <w:top w:val="none" w:sz="0" w:space="0" w:color="auto"/>
                                            <w:left w:val="none" w:sz="0" w:space="0" w:color="auto"/>
                                            <w:bottom w:val="none" w:sz="0" w:space="0" w:color="auto"/>
                                            <w:right w:val="none" w:sz="0" w:space="0" w:color="auto"/>
                                          </w:divBdr>
                                          <w:divsChild>
                                            <w:div w:id="1061824553">
                                              <w:marLeft w:val="0"/>
                                              <w:marRight w:val="0"/>
                                              <w:marTop w:val="0"/>
                                              <w:marBottom w:val="0"/>
                                              <w:divBdr>
                                                <w:top w:val="none" w:sz="0" w:space="0" w:color="auto"/>
                                                <w:left w:val="none" w:sz="0" w:space="0" w:color="auto"/>
                                                <w:bottom w:val="none" w:sz="0" w:space="0" w:color="auto"/>
                                                <w:right w:val="none" w:sz="0" w:space="0" w:color="auto"/>
                                              </w:divBdr>
                                              <w:divsChild>
                                                <w:div w:id="1595556140">
                                                  <w:marLeft w:val="0"/>
                                                  <w:marRight w:val="0"/>
                                                  <w:marTop w:val="0"/>
                                                  <w:marBottom w:val="0"/>
                                                  <w:divBdr>
                                                    <w:top w:val="none" w:sz="0" w:space="0" w:color="auto"/>
                                                    <w:left w:val="none" w:sz="0" w:space="0" w:color="auto"/>
                                                    <w:bottom w:val="none" w:sz="0" w:space="0" w:color="auto"/>
                                                    <w:right w:val="none" w:sz="0" w:space="0" w:color="auto"/>
                                                  </w:divBdr>
                                                  <w:divsChild>
                                                    <w:div w:id="1700155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743131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laude.ai/about" TargetMode="External"/><Relationship Id="rId3" Type="http://schemas.openxmlformats.org/officeDocument/2006/relationships/settings" Target="settings.xml"/><Relationship Id="rId7" Type="http://schemas.openxmlformats.org/officeDocument/2006/relationships/hyperlink" Target="https://claude.ai/contac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aude.ai/blog/sponsor-licence-suspended-what-happens" TargetMode="External"/><Relationship Id="rId5" Type="http://schemas.openxmlformats.org/officeDocument/2006/relationships/hyperlink" Target="https://claude.ai/blog/sponsor-licence-suspended-what-happens"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7</Pages>
  <Words>2794</Words>
  <Characters>15929</Characters>
  <Application>Microsoft Office Word</Application>
  <DocSecurity>0</DocSecurity>
  <Lines>132</Lines>
  <Paragraphs>37</Paragraphs>
  <ScaleCrop>false</ScaleCrop>
  <Company/>
  <LinksUpToDate>false</LinksUpToDate>
  <CharactersWithSpaces>18686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Mayuka Sah</dc:creator>
  <cp:keywords/>
  <dc:description/>
  <cp:lastModifiedBy>Mayuka Sah</cp:lastModifiedBy>
  <cp:revision>4</cp:revision>
  <dcterms:created xsi:type="dcterms:W3CDTF">2026-05-20T15:24:00Z</dcterms:created>
  <dcterms:modified xsi:type="dcterms:W3CDTF">2026-05-20T16:49:00Z</dcterms:modified>
</cp:coreProperties>
</file>