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E9878" w14:textId="77777777" w:rsidR="00861626" w:rsidRPr="00861626" w:rsidRDefault="00861626" w:rsidP="0086162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1626">
        <w:rPr>
          <w:rFonts w:ascii="Times New Roman" w:eastAsia="Times New Roman" w:hAnsi="Times New Roman" w:cs="Times New Roman"/>
          <w:b/>
          <w:bCs/>
          <w:kern w:val="36"/>
          <w:sz w:val="48"/>
          <w:szCs w:val="48"/>
          <w:lang w:eastAsia="en-GB"/>
          <w14:ligatures w14:val="none"/>
        </w:rPr>
        <w:t>How to Prepare for a Home Office Sponsor Compliance Visit (2026 Employer Checklist)</w:t>
      </w:r>
    </w:p>
    <w:p w14:paraId="410C01D2"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Meta Title:</w:t>
      </w:r>
      <w:r w:rsidRPr="00861626">
        <w:rPr>
          <w:rFonts w:ascii="Times New Roman" w:eastAsia="Times New Roman" w:hAnsi="Times New Roman" w:cs="Times New Roman"/>
          <w:kern w:val="0"/>
          <w:lang w:eastAsia="en-GB"/>
          <w14:ligatures w14:val="none"/>
        </w:rPr>
        <w:t xml:space="preserve"> Home Office Compliance Visit Checklist for UK Sponsors (2026) | </w:t>
      </w:r>
      <w:proofErr w:type="spellStart"/>
      <w:r w:rsidRPr="00861626">
        <w:rPr>
          <w:rFonts w:ascii="Times New Roman" w:eastAsia="Times New Roman" w:hAnsi="Times New Roman" w:cs="Times New Roman"/>
          <w:kern w:val="0"/>
          <w:lang w:eastAsia="en-GB"/>
          <w14:ligatures w14:val="none"/>
        </w:rPr>
        <w:t>SoftHire</w:t>
      </w:r>
      <w:proofErr w:type="spellEnd"/>
    </w:p>
    <w:p w14:paraId="04AEA10C"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Meta Description:</w:t>
      </w:r>
      <w:r w:rsidRPr="00861626">
        <w:rPr>
          <w:rFonts w:ascii="Times New Roman" w:eastAsia="Times New Roman" w:hAnsi="Times New Roman" w:cs="Times New Roman"/>
          <w:kern w:val="0"/>
          <w:lang w:eastAsia="en-GB"/>
          <w14:ligatures w14:val="none"/>
        </w:rPr>
        <w:t xml:space="preserve"> A Home Office compliance visit can trigger suspension or revocation — but most employers fail on avoidable basics. Here's the preparation checklist that makes the difference.</w:t>
      </w:r>
    </w:p>
    <w:p w14:paraId="3A64EEF9"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URL Slug:</w:t>
      </w:r>
      <w:r w:rsidRPr="00861626">
        <w:rPr>
          <w:rFonts w:ascii="Times New Roman" w:eastAsia="Times New Roman" w:hAnsi="Times New Roman" w:cs="Times New Roman"/>
          <w:kern w:val="0"/>
          <w:lang w:eastAsia="en-GB"/>
          <w14:ligatures w14:val="none"/>
        </w:rPr>
        <w:t xml:space="preserve"> /blog/home-office-compliance-visit-preparation</w:t>
      </w:r>
    </w:p>
    <w:p w14:paraId="4D30A757" w14:textId="77777777" w:rsidR="00861626" w:rsidRPr="00861626" w:rsidRDefault="000D0BE5" w:rsidP="00861626">
      <w:pPr>
        <w:rPr>
          <w:rFonts w:ascii="Times New Roman" w:eastAsia="Times New Roman" w:hAnsi="Times New Roman" w:cs="Times New Roman"/>
          <w:kern w:val="0"/>
          <w:lang w:eastAsia="en-GB"/>
          <w14:ligatures w14:val="none"/>
        </w:rPr>
      </w:pPr>
      <w:r w:rsidRPr="000D0BE5">
        <w:rPr>
          <w:rFonts w:ascii="Times New Roman" w:eastAsia="Times New Roman" w:hAnsi="Times New Roman" w:cs="Times New Roman"/>
          <w:noProof/>
          <w:kern w:val="0"/>
          <w:lang w:eastAsia="en-GB"/>
        </w:rPr>
        <w:pict w14:anchorId="7535A9E8">
          <v:rect id="_x0000_i1026" alt="" style="width:451.3pt;height:.05pt;mso-width-percent:0;mso-height-percent:0;mso-width-percent:0;mso-height-percent:0" o:hralign="center" o:hrstd="t" o:hr="t" fillcolor="#a0a0a0" stroked="f"/>
        </w:pict>
      </w:r>
    </w:p>
    <w:p w14:paraId="5E90891F"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How to Prepare for a Home Office Sponsor Compliance Visit</w:t>
      </w:r>
    </w:p>
    <w:p w14:paraId="69E96644"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A Home Office compliance visit is not a formality. It is the single event most likely to determine whether your sponsor licence continues, gets </w:t>
      </w:r>
      <w:hyperlink r:id="rId7" w:history="1">
        <w:r w:rsidRPr="00861626">
          <w:rPr>
            <w:rFonts w:ascii="Times New Roman" w:eastAsia="Times New Roman" w:hAnsi="Times New Roman" w:cs="Times New Roman"/>
            <w:color w:val="0000FF"/>
            <w:kern w:val="0"/>
            <w:u w:val="single"/>
            <w:lang w:eastAsia="en-GB"/>
            <w14:ligatures w14:val="none"/>
          </w:rPr>
          <w:t>suspended</w:t>
        </w:r>
      </w:hyperlink>
      <w:r w:rsidRPr="00861626">
        <w:rPr>
          <w:rFonts w:ascii="Times New Roman" w:eastAsia="Times New Roman" w:hAnsi="Times New Roman" w:cs="Times New Roman"/>
          <w:kern w:val="0"/>
          <w:lang w:eastAsia="en-GB"/>
          <w14:ligatures w14:val="none"/>
        </w:rPr>
        <w:t xml:space="preserve">, or is </w:t>
      </w:r>
      <w:hyperlink r:id="rId8" w:history="1">
        <w:r w:rsidRPr="00861626">
          <w:rPr>
            <w:rFonts w:ascii="Times New Roman" w:eastAsia="Times New Roman" w:hAnsi="Times New Roman" w:cs="Times New Roman"/>
            <w:color w:val="0000FF"/>
            <w:kern w:val="0"/>
            <w:u w:val="single"/>
            <w:lang w:eastAsia="en-GB"/>
            <w14:ligatures w14:val="none"/>
          </w:rPr>
          <w:t>revoked</w:t>
        </w:r>
      </w:hyperlink>
      <w:r w:rsidRPr="00861626">
        <w:rPr>
          <w:rFonts w:ascii="Times New Roman" w:eastAsia="Times New Roman" w:hAnsi="Times New Roman" w:cs="Times New Roman"/>
          <w:kern w:val="0"/>
          <w:lang w:eastAsia="en-GB"/>
          <w14:ligatures w14:val="none"/>
        </w:rPr>
        <w:t xml:space="preserve"> entirely.</w:t>
      </w:r>
    </w:p>
    <w:p w14:paraId="3A053025"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problem is not that employers take compliance visits lightly. Most take them very seriously — once they know one is coming. The problem is that the preparation window is often too short to fix structural weaknesses, and the things that create the worst impressions are rarely the things employers expect.</w:t>
      </w:r>
    </w:p>
    <w:p w14:paraId="7414D56D"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Compliance visits are not primarily about documents. They are about whether the Home Office believes your organisation has functioning systems and genuine operational control over its sponsorship obligations. Documents are evidence of that. But so is how your team responds to questions, how quickly you can retrieve information, and whether different people in your organisation tell a consistent story about how compliance works.</w:t>
      </w:r>
    </w:p>
    <w:p w14:paraId="5E4CBC91"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This guide covers what actually happens during a compliance visit, what auditors focus on in practice, the preparation checklist that matters, and the mistakes that most commonly turn a routine audit into an enforcement event.</w:t>
      </w:r>
    </w:p>
    <w:p w14:paraId="40EAFE30"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What Is a Compliance Visit?</w:t>
      </w:r>
    </w:p>
    <w:p w14:paraId="1226466A"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A compliance visit is a Home Office audit of your organisation's ability to meet its sponsor licence obligations. It can cover any aspect of your sponsorship arrangements — record-keeping, reporting, right to work compliance, vacancy legitimacy, SMS governance, and the operational reality of how sponsored workers are employed.</w:t>
      </w:r>
    </w:p>
    <w:p w14:paraId="61681537"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Visits may be announced or unannounced. Pre-licence visits are standard for new applicants. Post-licence visits can happen at any time during the life of your licence, with no requirement </w:t>
      </w:r>
      <w:r w:rsidRPr="00861626">
        <w:rPr>
          <w:rFonts w:ascii="Times New Roman" w:eastAsia="Times New Roman" w:hAnsi="Times New Roman" w:cs="Times New Roman"/>
          <w:kern w:val="0"/>
          <w:lang w:eastAsia="en-GB"/>
          <w14:ligatures w14:val="none"/>
        </w:rPr>
        <w:lastRenderedPageBreak/>
        <w:t>for advance notice. Some are triggered by specific intelligence or complaints. Others are routine.</w:t>
      </w:r>
    </w:p>
    <w:p w14:paraId="7102CE79"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officials conducting the visit are assessing a simple question: does this organisation operate like a competent, trustworthy sponsor? Everything that follows — the document requests, the interviews, the operational questions — is in service of answering that.</w:t>
      </w:r>
    </w:p>
    <w:p w14:paraId="13B7DC97"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Announced vs Unannounced: What to Expect</w:t>
      </w:r>
    </w:p>
    <w:p w14:paraId="0F963E3D"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Announced Visits</w:t>
      </w:r>
    </w:p>
    <w:p w14:paraId="11DE522D"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You will receive advance notice, typically by letter or email, specifying the date and sometimes the scope. This gives you a preparation window — usually a few weeks — but it is not an invitation to fabricate compliance. Auditors know what a hastily assembled file looks like. The preparation window is for organising and presenting evidence of compliance that already exists, not for creating it from scratch.</w:t>
      </w:r>
    </w:p>
    <w:p w14:paraId="19033BAD"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Unannounced Visits</w:t>
      </w:r>
    </w:p>
    <w:p w14:paraId="2C151F96"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Officials arrive without prior notification. This is where genuine compliance maturity is tested. Unannounced visits reveal the actual state of your systems — not the version you would present with two weeks' notice. If your compliance depends on preparation rather than embedded process, an unannounced visit will expose that immediately.</w:t>
      </w:r>
    </w:p>
    <w:p w14:paraId="416978C3"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practical difference is significant. An announced visit tests whether your compliance can be demonstrated. An unannounced visit tests whether your compliance actually exists.</w:t>
      </w:r>
    </w:p>
    <w:p w14:paraId="064A9E52"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What Auditors Actually Focus On</w:t>
      </w:r>
    </w:p>
    <w:p w14:paraId="77A85C38"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Employers tend to prepare for compliance visits by assembling documents. That is necessary but insufficient. Understanding what auditors are actually evaluating — and the impressions that carry disproportionate weight — is what separates adequate preparation from effective preparation.</w:t>
      </w:r>
    </w:p>
    <w:p w14:paraId="10E6C589"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The First 30 Minutes Matter Most</w:t>
      </w:r>
    </w:p>
    <w:p w14:paraId="0034CF8C"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First impressions in compliance visits are remarkably sticky. Within the first half hour, auditors are forming a judgement about whether this is an organisation that controls its sponsor obligations or one that is scrambling. Three things shape that initial impression more than anything else:</w:t>
      </w:r>
    </w:p>
    <w:p w14:paraId="050AD8DF"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Can you produce a sponsored worker list immediately?</w:t>
      </w:r>
      <w:r w:rsidRPr="00861626">
        <w:rPr>
          <w:rFonts w:ascii="Times New Roman" w:eastAsia="Times New Roman" w:hAnsi="Times New Roman" w:cs="Times New Roman"/>
          <w:kern w:val="0"/>
          <w:lang w:eastAsia="en-GB"/>
          <w14:ligatures w14:val="none"/>
        </w:rPr>
        <w:t xml:space="preserve"> Not in ten minutes. Not after checking with someone. Immediately. If the person receiving the auditors cannot produce a current, accurate list of all sponsored workers — with </w:t>
      </w:r>
      <w:proofErr w:type="spellStart"/>
      <w:r w:rsidRPr="00861626">
        <w:rPr>
          <w:rFonts w:ascii="Times New Roman" w:eastAsia="Times New Roman" w:hAnsi="Times New Roman" w:cs="Times New Roman"/>
          <w:kern w:val="0"/>
          <w:lang w:eastAsia="en-GB"/>
          <w14:ligatures w14:val="none"/>
        </w:rPr>
        <w:t>CoS</w:t>
      </w:r>
      <w:proofErr w:type="spellEnd"/>
      <w:r w:rsidRPr="00861626">
        <w:rPr>
          <w:rFonts w:ascii="Times New Roman" w:eastAsia="Times New Roman" w:hAnsi="Times New Roman" w:cs="Times New Roman"/>
          <w:kern w:val="0"/>
          <w:lang w:eastAsia="en-GB"/>
          <w14:ligatures w14:val="none"/>
        </w:rPr>
        <w:t xml:space="preserve"> reference numbers, start dates, visa expiry dates, and role details — the visit begins on the back foot. This single data point tells the auditor more about your compliance maturity than almost anything else.</w:t>
      </w:r>
    </w:p>
    <w:p w14:paraId="0C2EA088"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Does the authorising officer know they are the authorising officer?</w:t>
      </w:r>
      <w:r w:rsidRPr="00861626">
        <w:rPr>
          <w:rFonts w:ascii="Times New Roman" w:eastAsia="Times New Roman" w:hAnsi="Times New Roman" w:cs="Times New Roman"/>
          <w:kern w:val="0"/>
          <w:lang w:eastAsia="en-GB"/>
          <w14:ligatures w14:val="none"/>
        </w:rPr>
        <w:t xml:space="preserve"> This sounds absurd, but it happens regularly. The named authorising officer has moved roles, left the business, or </w:t>
      </w:r>
      <w:r w:rsidRPr="00861626">
        <w:rPr>
          <w:rFonts w:ascii="Times New Roman" w:eastAsia="Times New Roman" w:hAnsi="Times New Roman" w:cs="Times New Roman"/>
          <w:kern w:val="0"/>
          <w:lang w:eastAsia="en-GB"/>
          <w14:ligatures w14:val="none"/>
        </w:rPr>
        <w:lastRenderedPageBreak/>
        <w:t>was appointed as a formality and has no operational understanding of sponsor duties. If the AO cannot explain basic reporting obligations or describe how compliance is managed day to day, the credibility damage is immediate and difficult to recover from.</w:t>
      </w:r>
    </w:p>
    <w:p w14:paraId="73D1481F"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Is there a clear answer to "who is responsible for sponsor compliance?"</w:t>
      </w:r>
      <w:r w:rsidRPr="00861626">
        <w:rPr>
          <w:rFonts w:ascii="Times New Roman" w:eastAsia="Times New Roman" w:hAnsi="Times New Roman" w:cs="Times New Roman"/>
          <w:kern w:val="0"/>
          <w:lang w:eastAsia="en-GB"/>
          <w14:ligatures w14:val="none"/>
        </w:rPr>
        <w:t xml:space="preserve"> Not a vague reference to "HR handles it." A named individual, a defined process, an explanation of how reporting obligations are tracked and discharged. Auditors ask this question early because the answer reveals whether compliance is genuinely owned or informally distributed across people who each assume someone else is handling it.</w:t>
      </w:r>
    </w:p>
    <w:p w14:paraId="3EC8C88E"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Document and Record Assessment</w:t>
      </w:r>
    </w:p>
    <w:p w14:paraId="37C2D869"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Auditors will review sponsored worker files, typically requesting a selection rather than every file. They are checking for:</w:t>
      </w:r>
    </w:p>
    <w:p w14:paraId="48F51267" w14:textId="77777777" w:rsidR="00861626" w:rsidRPr="00861626" w:rsidRDefault="00861626" w:rsidP="00861626">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Passport copies</w:t>
      </w:r>
      <w:r w:rsidRPr="00861626">
        <w:rPr>
          <w:rFonts w:ascii="Times New Roman" w:eastAsia="Times New Roman" w:hAnsi="Times New Roman" w:cs="Times New Roman"/>
          <w:kern w:val="0"/>
          <w:lang w:eastAsia="en-GB"/>
          <w14:ligatures w14:val="none"/>
        </w:rPr>
        <w:t xml:space="preserve"> — current, legible, complete biographical data pages</w:t>
      </w:r>
    </w:p>
    <w:p w14:paraId="7CCFE696" w14:textId="77777777" w:rsidR="00861626" w:rsidRPr="00861626" w:rsidRDefault="00861626" w:rsidP="00861626">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Right to work evidence</w:t>
      </w:r>
      <w:r w:rsidRPr="00861626">
        <w:rPr>
          <w:rFonts w:ascii="Times New Roman" w:eastAsia="Times New Roman" w:hAnsi="Times New Roman" w:cs="Times New Roman"/>
          <w:kern w:val="0"/>
          <w:lang w:eastAsia="en-GB"/>
          <w14:ligatures w14:val="none"/>
        </w:rPr>
        <w:t xml:space="preserve"> — compliant initial checks with documented dates, follow-up checks scheduled and completed where required</w:t>
      </w:r>
    </w:p>
    <w:p w14:paraId="4ECDFB48" w14:textId="77777777" w:rsidR="00861626" w:rsidRPr="00861626" w:rsidRDefault="00861626" w:rsidP="00861626">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Employment contracts</w:t>
      </w:r>
      <w:r w:rsidRPr="00861626">
        <w:rPr>
          <w:rFonts w:ascii="Times New Roman" w:eastAsia="Times New Roman" w:hAnsi="Times New Roman" w:cs="Times New Roman"/>
          <w:kern w:val="0"/>
          <w:lang w:eastAsia="en-GB"/>
          <w14:ligatures w14:val="none"/>
        </w:rPr>
        <w:t xml:space="preserve"> — matching the role, salary, and working conditions declared on the </w:t>
      </w:r>
      <w:proofErr w:type="spellStart"/>
      <w:r w:rsidRPr="00861626">
        <w:rPr>
          <w:rFonts w:ascii="Times New Roman" w:eastAsia="Times New Roman" w:hAnsi="Times New Roman" w:cs="Times New Roman"/>
          <w:kern w:val="0"/>
          <w:lang w:eastAsia="en-GB"/>
          <w14:ligatures w14:val="none"/>
        </w:rPr>
        <w:t>CoS</w:t>
      </w:r>
      <w:proofErr w:type="spellEnd"/>
    </w:p>
    <w:p w14:paraId="4F2DDD7C" w14:textId="77777777" w:rsidR="00861626" w:rsidRPr="00861626" w:rsidRDefault="00861626" w:rsidP="00861626">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Salary evidence</w:t>
      </w:r>
      <w:r w:rsidRPr="00861626">
        <w:rPr>
          <w:rFonts w:ascii="Times New Roman" w:eastAsia="Times New Roman" w:hAnsi="Times New Roman" w:cs="Times New Roman"/>
          <w:kern w:val="0"/>
          <w:lang w:eastAsia="en-GB"/>
          <w14:ligatures w14:val="none"/>
        </w:rPr>
        <w:t xml:space="preserve"> — payslips or payroll records confirming the actual salary matches what was sponsored</w:t>
      </w:r>
    </w:p>
    <w:p w14:paraId="2D96C034" w14:textId="77777777" w:rsidR="00861626" w:rsidRPr="00861626" w:rsidRDefault="00861626" w:rsidP="00861626">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Contact details</w:t>
      </w:r>
      <w:r w:rsidRPr="00861626">
        <w:rPr>
          <w:rFonts w:ascii="Times New Roman" w:eastAsia="Times New Roman" w:hAnsi="Times New Roman" w:cs="Times New Roman"/>
          <w:kern w:val="0"/>
          <w:lang w:eastAsia="en-GB"/>
          <w14:ligatures w14:val="none"/>
        </w:rPr>
        <w:t xml:space="preserve"> — current address and contact information for each sponsored worker</w:t>
      </w:r>
    </w:p>
    <w:p w14:paraId="0B5862C9" w14:textId="77777777" w:rsidR="00861626" w:rsidRPr="00861626" w:rsidRDefault="00861626" w:rsidP="00861626">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Absence and attendance records</w:t>
      </w:r>
      <w:r w:rsidRPr="00861626">
        <w:rPr>
          <w:rFonts w:ascii="Times New Roman" w:eastAsia="Times New Roman" w:hAnsi="Times New Roman" w:cs="Times New Roman"/>
          <w:kern w:val="0"/>
          <w:lang w:eastAsia="en-GB"/>
          <w14:ligatures w14:val="none"/>
        </w:rPr>
        <w:t xml:space="preserve"> — evidence of monitoring, particularly for unauthorised absence</w:t>
      </w:r>
    </w:p>
    <w:p w14:paraId="58D26EF7"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The standard they are applying is not "does this file exist?" It is "could this file withstand scrutiny?" An employment contract that lists a different job title from the </w:t>
      </w:r>
      <w:proofErr w:type="spellStart"/>
      <w:r w:rsidRPr="00861626">
        <w:rPr>
          <w:rFonts w:ascii="Times New Roman" w:eastAsia="Times New Roman" w:hAnsi="Times New Roman" w:cs="Times New Roman"/>
          <w:kern w:val="0"/>
          <w:lang w:eastAsia="en-GB"/>
          <w14:ligatures w14:val="none"/>
        </w:rPr>
        <w:t>CoS</w:t>
      </w:r>
      <w:proofErr w:type="spellEnd"/>
      <w:r w:rsidRPr="00861626">
        <w:rPr>
          <w:rFonts w:ascii="Times New Roman" w:eastAsia="Times New Roman" w:hAnsi="Times New Roman" w:cs="Times New Roman"/>
          <w:kern w:val="0"/>
          <w:lang w:eastAsia="en-GB"/>
          <w14:ligatures w14:val="none"/>
        </w:rPr>
        <w:t>, a payslip showing a salary £2,000 below the sponsored amount, a right to work check dated three weeks after the employment start date — these are the details that turn a file review into a compliance concern.</w:t>
      </w:r>
    </w:p>
    <w:p w14:paraId="1BF7F18B"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Reporting History Review</w:t>
      </w:r>
    </w:p>
    <w:p w14:paraId="11FA25FC"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Auditors will assess whether your organisation has been meeting its reporting obligations. This means checking whether reportable events — resignations, dismissals, absences exceeding 10 working days, salary changes, role changes, changes in worker circumstances — were actually reported, and whether they were reported within the required timeframes.</w:t>
      </w:r>
    </w:p>
    <w:p w14:paraId="448FE8C6"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gap they are looking for is between what HR records show happened and what the SMS shows was reported. If HR records indicate a sponsored worker resigned three months ago but no SMS report was filed, that is not an administrative delay. That is a compliance failure.</w:t>
      </w:r>
    </w:p>
    <w:p w14:paraId="5FE1BE8F"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Sponsored Worker Interviews</w:t>
      </w:r>
    </w:p>
    <w:p w14:paraId="72584A7D"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Auditors may interview sponsored workers directly, usually without the employer present. They are checking whether the employee's account of their role, duties, salary, and working conditions is consistent with what was declared on the </w:t>
      </w:r>
      <w:proofErr w:type="spellStart"/>
      <w:r w:rsidRPr="00861626">
        <w:rPr>
          <w:rFonts w:ascii="Times New Roman" w:eastAsia="Times New Roman" w:hAnsi="Times New Roman" w:cs="Times New Roman"/>
          <w:kern w:val="0"/>
          <w:lang w:eastAsia="en-GB"/>
          <w14:ligatures w14:val="none"/>
        </w:rPr>
        <w:t>CoS</w:t>
      </w:r>
      <w:proofErr w:type="spellEnd"/>
      <w:r w:rsidRPr="00861626">
        <w:rPr>
          <w:rFonts w:ascii="Times New Roman" w:eastAsia="Times New Roman" w:hAnsi="Times New Roman" w:cs="Times New Roman"/>
          <w:kern w:val="0"/>
          <w:lang w:eastAsia="en-GB"/>
          <w14:ligatures w14:val="none"/>
        </w:rPr>
        <w:t xml:space="preserve"> and what the employer's records show.</w:t>
      </w:r>
    </w:p>
    <w:p w14:paraId="402E95BF"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lastRenderedPageBreak/>
        <w:t>Inconsistencies are damaging. A worker who describes duties materially different from their job description, who states a salary different from what payroll records show, or who appears unaware of basic details of their employment arrangement raises immediate credibility concerns — not just about that individual's sponsorship, but about the employer's vacancy integrity more broadly.</w:t>
      </w:r>
    </w:p>
    <w:p w14:paraId="56338F6F"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Operational and Governance Questions</w:t>
      </w:r>
    </w:p>
    <w:p w14:paraId="1312875E"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Beyond documents, auditors will probe how compliance is managed in practice. Typical questions include:</w:t>
      </w:r>
    </w:p>
    <w:p w14:paraId="48DFE628" w14:textId="77777777" w:rsidR="00861626" w:rsidRPr="00861626" w:rsidRDefault="00861626" w:rsidP="00861626">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How do you track reporting deadlines?</w:t>
      </w:r>
    </w:p>
    <w:p w14:paraId="508D7189" w14:textId="77777777" w:rsidR="00861626" w:rsidRPr="00861626" w:rsidRDefault="00861626" w:rsidP="00861626">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What happens when a sponsored worker's visa is approaching expiry?</w:t>
      </w:r>
    </w:p>
    <w:p w14:paraId="5D4968EA" w14:textId="77777777" w:rsidR="00861626" w:rsidRPr="00861626" w:rsidRDefault="00861626" w:rsidP="00861626">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Who is responsible for right to work follow-up checks?</w:t>
      </w:r>
    </w:p>
    <w:p w14:paraId="644AB22C" w14:textId="77777777" w:rsidR="00861626" w:rsidRPr="00861626" w:rsidRDefault="00861626" w:rsidP="00861626">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How do you monitor sponsored worker attendance?</w:t>
      </w:r>
    </w:p>
    <w:p w14:paraId="20A221AC" w14:textId="77777777" w:rsidR="00861626" w:rsidRPr="00861626" w:rsidRDefault="00861626" w:rsidP="00861626">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What process do you follow when a sponsored worker changes role?</w:t>
      </w:r>
    </w:p>
    <w:p w14:paraId="06F2753E" w14:textId="77777777" w:rsidR="00861626" w:rsidRPr="00861626" w:rsidRDefault="00861626" w:rsidP="00861626">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How are new managers briefed on sponsor obligations?</w:t>
      </w:r>
    </w:p>
    <w:p w14:paraId="1E887004"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answers they are evaluating are not the policy answers. They are the operational answers — what actually happens, not what the handbook says should happen.</w:t>
      </w:r>
    </w:p>
    <w:p w14:paraId="733E0E89"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The Preparation Checklist</w:t>
      </w:r>
    </w:p>
    <w:p w14:paraId="2EC089BE"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This checklist is designed to be worked through systematically in advance of an announced visit, and maintained on an ongoing basis so that unannounced visits are survivable without notice.</w:t>
      </w:r>
    </w:p>
    <w:p w14:paraId="2B710E20"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SMS and Governance</w:t>
      </w:r>
    </w:p>
    <w:p w14:paraId="2B379BC5" w14:textId="77777777" w:rsidR="00861626" w:rsidRPr="00861626" w:rsidRDefault="00861626" w:rsidP="00861626">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All named SMS users (authorising officer, Level 1 User, Level 2 Users) are current employees in roles where they can discharge their responsibilities</w:t>
      </w:r>
    </w:p>
    <w:p w14:paraId="0F5FAC9C" w14:textId="77777777" w:rsidR="00861626" w:rsidRPr="00861626" w:rsidRDefault="00861626" w:rsidP="00861626">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The authorising officer can explain sponsor duties and describe how compliance is managed operationally</w:t>
      </w:r>
    </w:p>
    <w:p w14:paraId="646DA08E" w14:textId="77777777" w:rsidR="00861626" w:rsidRPr="00861626" w:rsidRDefault="00861626" w:rsidP="00861626">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Business details on the SMS — registered address, trading name, nature of business, key personnel — are accurate and current</w:t>
      </w:r>
    </w:p>
    <w:p w14:paraId="5CB55727" w14:textId="77777777" w:rsidR="00861626" w:rsidRPr="00861626" w:rsidRDefault="00861626" w:rsidP="00861626">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There is a named individual responsible for day-to-day sponsor compliance, and that person can articulate the role clearly</w:t>
      </w:r>
    </w:p>
    <w:p w14:paraId="33DD5EC4" w14:textId="77777777" w:rsidR="00861626" w:rsidRPr="00861626" w:rsidRDefault="00861626" w:rsidP="00861626">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Any organisational changes in the last 12 months (ownership, structure, directors, addresses) have been reported</w:t>
      </w:r>
    </w:p>
    <w:p w14:paraId="4E8958BF"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Sponsored Worker Records</w:t>
      </w:r>
    </w:p>
    <w:p w14:paraId="061E8589" w14:textId="77777777" w:rsidR="00861626" w:rsidRPr="00861626" w:rsidRDefault="00861626" w:rsidP="00861626">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 ] A complete, current list of all sponsored workers can be produced within minutes — including </w:t>
      </w:r>
      <w:proofErr w:type="spellStart"/>
      <w:r w:rsidRPr="00861626">
        <w:rPr>
          <w:rFonts w:ascii="Times New Roman" w:eastAsia="Times New Roman" w:hAnsi="Times New Roman" w:cs="Times New Roman"/>
          <w:kern w:val="0"/>
          <w:lang w:eastAsia="en-GB"/>
          <w14:ligatures w14:val="none"/>
        </w:rPr>
        <w:t>CoS</w:t>
      </w:r>
      <w:proofErr w:type="spellEnd"/>
      <w:r w:rsidRPr="00861626">
        <w:rPr>
          <w:rFonts w:ascii="Times New Roman" w:eastAsia="Times New Roman" w:hAnsi="Times New Roman" w:cs="Times New Roman"/>
          <w:kern w:val="0"/>
          <w:lang w:eastAsia="en-GB"/>
          <w14:ligatures w14:val="none"/>
        </w:rPr>
        <w:t xml:space="preserve"> reference numbers, start dates, visa expiry dates, job titles, and salaries</w:t>
      </w:r>
    </w:p>
    <w:p w14:paraId="5BF58CB2" w14:textId="77777777" w:rsidR="00861626" w:rsidRPr="00861626" w:rsidRDefault="00861626" w:rsidP="00861626">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 ] For each sponsored worker, the following are on file and accessible: passport copy, </w:t>
      </w:r>
      <w:proofErr w:type="spellStart"/>
      <w:r w:rsidRPr="00861626">
        <w:rPr>
          <w:rFonts w:ascii="Times New Roman" w:eastAsia="Times New Roman" w:hAnsi="Times New Roman" w:cs="Times New Roman"/>
          <w:kern w:val="0"/>
          <w:lang w:eastAsia="en-GB"/>
          <w14:ligatures w14:val="none"/>
        </w:rPr>
        <w:t>right</w:t>
      </w:r>
      <w:proofErr w:type="spellEnd"/>
      <w:r w:rsidRPr="00861626">
        <w:rPr>
          <w:rFonts w:ascii="Times New Roman" w:eastAsia="Times New Roman" w:hAnsi="Times New Roman" w:cs="Times New Roman"/>
          <w:kern w:val="0"/>
          <w:lang w:eastAsia="en-GB"/>
          <w14:ligatures w14:val="none"/>
        </w:rPr>
        <w:t xml:space="preserve"> to work evidence, employment contract, salary evidence, contact details</w:t>
      </w:r>
    </w:p>
    <w:p w14:paraId="76235DC8" w14:textId="77777777" w:rsidR="00861626" w:rsidRPr="00861626" w:rsidRDefault="00861626" w:rsidP="00861626">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 ] Employment contracts match </w:t>
      </w:r>
      <w:proofErr w:type="spellStart"/>
      <w:r w:rsidRPr="00861626">
        <w:rPr>
          <w:rFonts w:ascii="Times New Roman" w:eastAsia="Times New Roman" w:hAnsi="Times New Roman" w:cs="Times New Roman"/>
          <w:kern w:val="0"/>
          <w:lang w:eastAsia="en-GB"/>
          <w14:ligatures w14:val="none"/>
        </w:rPr>
        <w:t>CoS</w:t>
      </w:r>
      <w:proofErr w:type="spellEnd"/>
      <w:r w:rsidRPr="00861626">
        <w:rPr>
          <w:rFonts w:ascii="Times New Roman" w:eastAsia="Times New Roman" w:hAnsi="Times New Roman" w:cs="Times New Roman"/>
          <w:kern w:val="0"/>
          <w:lang w:eastAsia="en-GB"/>
          <w14:ligatures w14:val="none"/>
        </w:rPr>
        <w:t xml:space="preserve"> details — job title, SOC code, salary, working hours, work location</w:t>
      </w:r>
    </w:p>
    <w:p w14:paraId="45D1A8AF" w14:textId="77777777" w:rsidR="00861626" w:rsidRPr="00861626" w:rsidRDefault="00861626" w:rsidP="00861626">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lastRenderedPageBreak/>
        <w:t>[ ] Payroll records confirm actual salaries match sponsored amounts</w:t>
      </w:r>
    </w:p>
    <w:p w14:paraId="17411220" w14:textId="77777777" w:rsidR="00861626" w:rsidRPr="00861626" w:rsidRDefault="00861626" w:rsidP="00861626">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Files are organised consistently, not scattered across email, shared drives, and individual desktops</w:t>
      </w:r>
    </w:p>
    <w:p w14:paraId="36611338"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Right to Work Compliance</w:t>
      </w:r>
    </w:p>
    <w:p w14:paraId="452B0AA8" w14:textId="77777777" w:rsidR="00861626" w:rsidRPr="00861626" w:rsidRDefault="00861626" w:rsidP="00861626">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Initial right to work checks were completed before employment commenced, with documented check dates</w:t>
      </w:r>
    </w:p>
    <w:p w14:paraId="1F44BB88" w14:textId="77777777" w:rsidR="00861626" w:rsidRPr="00861626" w:rsidRDefault="00861626" w:rsidP="00861626">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Follow-up checks are scheduled and tracked for workers with time-limited permission</w:t>
      </w:r>
    </w:p>
    <w:p w14:paraId="2ADB047C" w14:textId="77777777" w:rsidR="00861626" w:rsidRPr="00861626" w:rsidRDefault="00861626" w:rsidP="00861626">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There is a documented process for right to work checking, with a named process owner</w:t>
      </w:r>
    </w:p>
    <w:p w14:paraId="2F47C5BD" w14:textId="77777777" w:rsidR="00861626" w:rsidRPr="00861626" w:rsidRDefault="00861626" w:rsidP="00861626">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Check records include the method used, the documents seen, the date, and who conducted the check</w:t>
      </w:r>
    </w:p>
    <w:p w14:paraId="6F79C271" w14:textId="77777777" w:rsidR="00861626" w:rsidRPr="00861626" w:rsidRDefault="00861626" w:rsidP="00861626">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Expired documents have been followed up and records updated</w:t>
      </w:r>
    </w:p>
    <w:p w14:paraId="2D2560A3"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Reporting Obligations</w:t>
      </w:r>
    </w:p>
    <w:p w14:paraId="0DF92329" w14:textId="77777777" w:rsidR="00861626" w:rsidRPr="00861626" w:rsidRDefault="00861626" w:rsidP="00861626">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All reportable events in the last 12 months have been filed — resignations, dismissals, absences over 10 working days, salary changes, role changes, visa issues</w:t>
      </w:r>
    </w:p>
    <w:p w14:paraId="29C69C7C" w14:textId="77777777" w:rsidR="00861626" w:rsidRPr="00861626" w:rsidRDefault="00861626" w:rsidP="00861626">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Reports were filed within required timeframes</w:t>
      </w:r>
    </w:p>
    <w:p w14:paraId="436E0A8D" w14:textId="77777777" w:rsidR="00861626" w:rsidRPr="00861626" w:rsidRDefault="00861626" w:rsidP="00861626">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There is no gap between what HR records show happened and what the SMS reflects</w:t>
      </w:r>
    </w:p>
    <w:p w14:paraId="6F97A454" w14:textId="77777777" w:rsidR="00861626" w:rsidRPr="00861626" w:rsidRDefault="00861626" w:rsidP="00861626">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There is a defined process for identifying reportable events and ensuring they reach whoever files the SMS report</w:t>
      </w:r>
    </w:p>
    <w:p w14:paraId="278813F1" w14:textId="77777777" w:rsidR="00861626" w:rsidRPr="00861626" w:rsidRDefault="00861626" w:rsidP="00861626">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The process does not depend on a single individual remembering</w:t>
      </w:r>
    </w:p>
    <w:p w14:paraId="2A71CDE8"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Vacancy Integrity</w:t>
      </w:r>
    </w:p>
    <w:p w14:paraId="6AF51073" w14:textId="77777777" w:rsidR="00861626" w:rsidRPr="00861626" w:rsidRDefault="00861626" w:rsidP="00861626">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 ] Each sponsored worker's actual duties match the role described on their </w:t>
      </w:r>
      <w:proofErr w:type="spellStart"/>
      <w:r w:rsidRPr="00861626">
        <w:rPr>
          <w:rFonts w:ascii="Times New Roman" w:eastAsia="Times New Roman" w:hAnsi="Times New Roman" w:cs="Times New Roman"/>
          <w:kern w:val="0"/>
          <w:lang w:eastAsia="en-GB"/>
          <w14:ligatures w14:val="none"/>
        </w:rPr>
        <w:t>CoS</w:t>
      </w:r>
      <w:proofErr w:type="spellEnd"/>
    </w:p>
    <w:p w14:paraId="5684FD71" w14:textId="77777777" w:rsidR="00861626" w:rsidRPr="00861626" w:rsidRDefault="00861626" w:rsidP="00861626">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Salaries being paid match salaries that were declared</w:t>
      </w:r>
    </w:p>
    <w:p w14:paraId="46FBC705" w14:textId="77777777" w:rsidR="00861626" w:rsidRPr="00861626" w:rsidRDefault="00861626" w:rsidP="00861626">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SOC codes remain appropriate for the work being performed</w:t>
      </w:r>
    </w:p>
    <w:p w14:paraId="440EE508" w14:textId="77777777" w:rsidR="00861626" w:rsidRPr="00861626" w:rsidRDefault="00861626" w:rsidP="00861626">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Any role evolution since the original sponsorship has been assessed for compliance implications</w:t>
      </w:r>
    </w:p>
    <w:p w14:paraId="0A75320F" w14:textId="77777777" w:rsidR="00861626" w:rsidRPr="00861626" w:rsidRDefault="00861626" w:rsidP="00861626">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Workers have not been moved to materially different roles without sponsorship action</w:t>
      </w:r>
    </w:p>
    <w:p w14:paraId="4D0E2E3C"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Site and Operational Readiness</w:t>
      </w:r>
    </w:p>
    <w:p w14:paraId="341083E5" w14:textId="77777777" w:rsidR="00861626" w:rsidRPr="00861626" w:rsidRDefault="00861626" w:rsidP="00861626">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If you operate multiple sites, compliance standards are consistent across all locations — not just head office</w:t>
      </w:r>
    </w:p>
    <w:p w14:paraId="78A0C8B2" w14:textId="77777777" w:rsidR="00861626" w:rsidRPr="00861626" w:rsidRDefault="00861626" w:rsidP="00861626">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Operational managers at each site understand basic sponsor obligations and know who to escalate to</w:t>
      </w:r>
    </w:p>
    <w:p w14:paraId="4B405311" w14:textId="77777777" w:rsidR="00861626" w:rsidRPr="00861626" w:rsidRDefault="00861626" w:rsidP="00861626">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Sponsored workers at each site can be identified and their files accessed remotely if needed</w:t>
      </w:r>
    </w:p>
    <w:p w14:paraId="7DBF9D7F" w14:textId="77777777" w:rsidR="00861626" w:rsidRPr="00861626" w:rsidRDefault="00861626" w:rsidP="00861626">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 There are no sponsored workers at locations not declared to the Home Office</w:t>
      </w:r>
    </w:p>
    <w:p w14:paraId="3B0A07AD"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The Mistakes That Turn Visits Into Enforcement Events</w:t>
      </w:r>
    </w:p>
    <w:p w14:paraId="0AD5391D"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lastRenderedPageBreak/>
        <w:t>Most compliance visits do not result in suspension or revocation. The ones that do tend to share a pattern — and it is rarely about the severity of any single issue.</w:t>
      </w:r>
    </w:p>
    <w:p w14:paraId="30FCC908"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Inconsistency Across the Organisation</w:t>
      </w:r>
    </w:p>
    <w:p w14:paraId="6CB8F3EC"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auditor hears one explanation from the authorising officer, a different version from HR, and a third from the operational manager. The policy says one thing; the practice is something else. The head office is compliant; the regional sites are not. Inconsistency signals that nobody is truly in control of the process.</w:t>
      </w:r>
    </w:p>
    <w:p w14:paraId="0E729189"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Inability to Retrieve Information Quickly</w:t>
      </w:r>
    </w:p>
    <w:p w14:paraId="5C45DE5A"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If basic records take 30 minutes to locate, auditors do not conclude that you have a filing problem. They conclude that you do not have functioning systems. The inability to produce a sponsored worker list, a right to work record, or a reporting log promptly — particularly during an unannounced visit — is one of the strongest negative signals an audit can generate.</w:t>
      </w:r>
    </w:p>
    <w:p w14:paraId="7F701BA0"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The Authorising Officer Problem</w:t>
      </w:r>
    </w:p>
    <w:p w14:paraId="0AE0CFC6"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An authorising officer who cannot explain sponsor duties, who was appointed as a formality, or who has left the business entirely tells the Home Office that compliance governance is superficial. This is one of the most common and most avoidable failures.</w:t>
      </w:r>
    </w:p>
    <w:p w14:paraId="6D8FA223" w14:textId="77777777" w:rsidR="00861626" w:rsidRPr="00861626" w:rsidRDefault="00861626" w:rsidP="0086162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1626">
        <w:rPr>
          <w:rFonts w:ascii="Times New Roman" w:eastAsia="Times New Roman" w:hAnsi="Times New Roman" w:cs="Times New Roman"/>
          <w:b/>
          <w:bCs/>
          <w:kern w:val="0"/>
          <w:sz w:val="27"/>
          <w:szCs w:val="27"/>
          <w:lang w:eastAsia="en-GB"/>
          <w14:ligatures w14:val="none"/>
        </w:rPr>
        <w:t>Defensiveness</w:t>
      </w:r>
    </w:p>
    <w:p w14:paraId="3A4C164C"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Employers who respond to audit questions with defensiveness, deflection, or hostility make the auditor's job harder and their own position worse. The most effective approach is factual and cooperative: here is what we do, here is the evidence, here is how we address gaps where they exist. Auditors are human. An organisation that demonstrates genuine engagement with its obligations — even imperfectly — creates a materially better impression than one that treats the visit as adversarial.</w:t>
      </w:r>
    </w:p>
    <w:p w14:paraId="14002593"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After the Visit: What Happens Next</w:t>
      </w:r>
    </w:p>
    <w:p w14:paraId="64AE2236"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Following the visit, the Home Office will reach a view on your compliance position. Three broad outcomes are possible.</w:t>
      </w:r>
    </w:p>
    <w:p w14:paraId="07635919"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No further action.</w:t>
      </w:r>
      <w:r w:rsidRPr="00861626">
        <w:rPr>
          <w:rFonts w:ascii="Times New Roman" w:eastAsia="Times New Roman" w:hAnsi="Times New Roman" w:cs="Times New Roman"/>
          <w:kern w:val="0"/>
          <w:lang w:eastAsia="en-GB"/>
          <w14:ligatures w14:val="none"/>
        </w:rPr>
        <w:t xml:space="preserve"> The visit identified no material concerns, or concerns were minor and addressed during the visit itself. Your licence continues normally.</w:t>
      </w:r>
    </w:p>
    <w:p w14:paraId="095DC1A4"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Action plan or downgrade.</w:t>
      </w:r>
      <w:r w:rsidRPr="00861626">
        <w:rPr>
          <w:rFonts w:ascii="Times New Roman" w:eastAsia="Times New Roman" w:hAnsi="Times New Roman" w:cs="Times New Roman"/>
          <w:kern w:val="0"/>
          <w:lang w:eastAsia="en-GB"/>
          <w14:ligatures w14:val="none"/>
        </w:rPr>
        <w:t xml:space="preserve"> The Home Office identifies compliance weaknesses that need to be addressed but does not consider them severe enough to justify suspension or revocation. You may be placed on an action plan with specific improvement requirements, or downgraded from an A-rating to a B-rating.</w:t>
      </w:r>
    </w:p>
    <w:p w14:paraId="6CDA74D6"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hyperlink r:id="rId9" w:history="1">
        <w:r w:rsidRPr="00861626">
          <w:rPr>
            <w:rFonts w:ascii="Times New Roman" w:eastAsia="Times New Roman" w:hAnsi="Times New Roman" w:cs="Times New Roman"/>
            <w:b/>
            <w:bCs/>
            <w:color w:val="0000FF"/>
            <w:kern w:val="0"/>
            <w:u w:val="single"/>
            <w:lang w:eastAsia="en-GB"/>
            <w14:ligatures w14:val="none"/>
          </w:rPr>
          <w:t>Suspension</w:t>
        </w:r>
      </w:hyperlink>
      <w:r w:rsidRPr="00861626">
        <w:rPr>
          <w:rFonts w:ascii="Times New Roman" w:eastAsia="Times New Roman" w:hAnsi="Times New Roman" w:cs="Times New Roman"/>
          <w:b/>
          <w:bCs/>
          <w:kern w:val="0"/>
          <w:lang w:eastAsia="en-GB"/>
          <w14:ligatures w14:val="none"/>
        </w:rPr>
        <w:t xml:space="preserve"> or </w:t>
      </w:r>
      <w:hyperlink r:id="rId10" w:history="1">
        <w:r w:rsidRPr="00861626">
          <w:rPr>
            <w:rFonts w:ascii="Times New Roman" w:eastAsia="Times New Roman" w:hAnsi="Times New Roman" w:cs="Times New Roman"/>
            <w:b/>
            <w:bCs/>
            <w:color w:val="0000FF"/>
            <w:kern w:val="0"/>
            <w:u w:val="single"/>
            <w:lang w:eastAsia="en-GB"/>
            <w14:ligatures w14:val="none"/>
          </w:rPr>
          <w:t>revocation</w:t>
        </w:r>
      </w:hyperlink>
      <w:r w:rsidRPr="00861626">
        <w:rPr>
          <w:rFonts w:ascii="Times New Roman" w:eastAsia="Times New Roman" w:hAnsi="Times New Roman" w:cs="Times New Roman"/>
          <w:b/>
          <w:bCs/>
          <w:kern w:val="0"/>
          <w:lang w:eastAsia="en-GB"/>
          <w14:ligatures w14:val="none"/>
        </w:rPr>
        <w:t>.</w:t>
      </w:r>
      <w:r w:rsidRPr="00861626">
        <w:rPr>
          <w:rFonts w:ascii="Times New Roman" w:eastAsia="Times New Roman" w:hAnsi="Times New Roman" w:cs="Times New Roman"/>
          <w:kern w:val="0"/>
          <w:lang w:eastAsia="en-GB"/>
          <w14:ligatures w14:val="none"/>
        </w:rPr>
        <w:t xml:space="preserve"> Where serious compliance failures are identified — particularly systemic ones — the Home Office may suspend the licence pending further investigation or proceed directly to revocation. The response framework for suspension is covered in detail in our </w:t>
      </w:r>
      <w:hyperlink r:id="rId11" w:history="1">
        <w:r w:rsidRPr="00861626">
          <w:rPr>
            <w:rFonts w:ascii="Times New Roman" w:eastAsia="Times New Roman" w:hAnsi="Times New Roman" w:cs="Times New Roman"/>
            <w:color w:val="0000FF"/>
            <w:kern w:val="0"/>
            <w:u w:val="single"/>
            <w:lang w:eastAsia="en-GB"/>
            <w14:ligatures w14:val="none"/>
          </w:rPr>
          <w:t>suspension guide</w:t>
        </w:r>
      </w:hyperlink>
      <w:r w:rsidRPr="00861626">
        <w:rPr>
          <w:rFonts w:ascii="Times New Roman" w:eastAsia="Times New Roman" w:hAnsi="Times New Roman" w:cs="Times New Roman"/>
          <w:kern w:val="0"/>
          <w:lang w:eastAsia="en-GB"/>
          <w14:ligatures w14:val="none"/>
        </w:rPr>
        <w:t>.</w:t>
      </w:r>
    </w:p>
    <w:p w14:paraId="13C121CB"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lastRenderedPageBreak/>
        <w:t>The outcome frequently depends less on the compliance issues themselves and more on whether the Home Office believes the organisation has the systems and intent to operate as a competent sponsor going forward. That belief is shaped significantly by what happens during the visit.</w:t>
      </w:r>
    </w:p>
    <w:p w14:paraId="733A1986"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 xml:space="preserve">How </w:t>
      </w:r>
      <w:proofErr w:type="spellStart"/>
      <w:r w:rsidRPr="00861626">
        <w:rPr>
          <w:rFonts w:ascii="Times New Roman" w:eastAsia="Times New Roman" w:hAnsi="Times New Roman" w:cs="Times New Roman"/>
          <w:b/>
          <w:bCs/>
          <w:kern w:val="0"/>
          <w:sz w:val="36"/>
          <w:szCs w:val="36"/>
          <w:lang w:eastAsia="en-GB"/>
          <w14:ligatures w14:val="none"/>
        </w:rPr>
        <w:t>SoftHire</w:t>
      </w:r>
      <w:proofErr w:type="spellEnd"/>
      <w:r w:rsidRPr="00861626">
        <w:rPr>
          <w:rFonts w:ascii="Times New Roman" w:eastAsia="Times New Roman" w:hAnsi="Times New Roman" w:cs="Times New Roman"/>
          <w:b/>
          <w:bCs/>
          <w:kern w:val="0"/>
          <w:sz w:val="36"/>
          <w:szCs w:val="36"/>
          <w:lang w:eastAsia="en-GB"/>
          <w14:ligatures w14:val="none"/>
        </w:rPr>
        <w:t xml:space="preserve"> Helps</w:t>
      </w:r>
    </w:p>
    <w:p w14:paraId="16F20D0A"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preparation checklist above works — but only if the underlying compliance infrastructure supports it. An employer who needs two weeks of intensive preparation before a compliance visit does not have a compliance system. They have a compliance project that runs periodically and decays between cycles.</w:t>
      </w:r>
    </w:p>
    <w:p w14:paraId="5EEAE6B6"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61626">
        <w:rPr>
          <w:rFonts w:ascii="Times New Roman" w:eastAsia="Times New Roman" w:hAnsi="Times New Roman" w:cs="Times New Roman"/>
          <w:kern w:val="0"/>
          <w:lang w:eastAsia="en-GB"/>
          <w14:ligatures w14:val="none"/>
        </w:rPr>
        <w:t>SoftHire</w:t>
      </w:r>
      <w:proofErr w:type="spellEnd"/>
      <w:r w:rsidRPr="00861626">
        <w:rPr>
          <w:rFonts w:ascii="Times New Roman" w:eastAsia="Times New Roman" w:hAnsi="Times New Roman" w:cs="Times New Roman"/>
          <w:kern w:val="0"/>
          <w:lang w:eastAsia="en-GB"/>
          <w14:ligatures w14:val="none"/>
        </w:rPr>
        <w:t xml:space="preserve"> builds the infrastructure layer that makes audit readiness a default state rather than an event:</w:t>
      </w:r>
    </w:p>
    <w:p w14:paraId="74A1C927" w14:textId="77777777" w:rsidR="00861626" w:rsidRPr="00861626" w:rsidRDefault="00861626" w:rsidP="00861626">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Centralised sponsored worker records</w:t>
      </w:r>
      <w:r w:rsidRPr="00861626">
        <w:rPr>
          <w:rFonts w:ascii="Times New Roman" w:eastAsia="Times New Roman" w:hAnsi="Times New Roman" w:cs="Times New Roman"/>
          <w:kern w:val="0"/>
          <w:lang w:eastAsia="en-GB"/>
          <w14:ligatures w14:val="none"/>
        </w:rPr>
        <w:t xml:space="preserve"> structured to Home Office audit requirements — so the "produce a complete list in minutes" test is passed automatically, not through last-minute assembly</w:t>
      </w:r>
    </w:p>
    <w:p w14:paraId="7DAED2BA" w14:textId="77777777" w:rsidR="00861626" w:rsidRPr="00861626" w:rsidRDefault="00861626" w:rsidP="00861626">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Automated reporting workflows</w:t>
      </w:r>
      <w:r w:rsidRPr="00861626">
        <w:rPr>
          <w:rFonts w:ascii="Times New Roman" w:eastAsia="Times New Roman" w:hAnsi="Times New Roman" w:cs="Times New Roman"/>
          <w:kern w:val="0"/>
          <w:lang w:eastAsia="en-GB"/>
          <w14:ligatures w14:val="none"/>
        </w:rPr>
        <w:t xml:space="preserve"> that bridge the gap between HR events and SMS reports — directly closing the most common audit failure</w:t>
      </w:r>
    </w:p>
    <w:p w14:paraId="36D729A0" w14:textId="77777777" w:rsidR="00861626" w:rsidRPr="00861626" w:rsidRDefault="00861626" w:rsidP="00861626">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Right to work tracking</w:t>
      </w:r>
      <w:r w:rsidRPr="00861626">
        <w:rPr>
          <w:rFonts w:ascii="Times New Roman" w:eastAsia="Times New Roman" w:hAnsi="Times New Roman" w:cs="Times New Roman"/>
          <w:kern w:val="0"/>
          <w:lang w:eastAsia="en-GB"/>
          <w14:ligatures w14:val="none"/>
        </w:rPr>
        <w:t xml:space="preserve"> with scheduled follow-ups, documented audit trails, and clear ownership — so compliance doesn't depend on someone remembering to check a spreadsheet</w:t>
      </w:r>
    </w:p>
    <w:p w14:paraId="7764A2EF" w14:textId="77777777" w:rsidR="00861626" w:rsidRPr="00861626" w:rsidRDefault="00861626" w:rsidP="00861626">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SMS governance monitoring</w:t>
      </w:r>
      <w:r w:rsidRPr="00861626">
        <w:rPr>
          <w:rFonts w:ascii="Times New Roman" w:eastAsia="Times New Roman" w:hAnsi="Times New Roman" w:cs="Times New Roman"/>
          <w:kern w:val="0"/>
          <w:lang w:eastAsia="en-GB"/>
          <w14:ligatures w14:val="none"/>
        </w:rPr>
        <w:t xml:space="preserve"> that flags when named users change, business details drift, or organisational changes go unreported</w:t>
      </w:r>
    </w:p>
    <w:p w14:paraId="6ACB936C" w14:textId="77777777" w:rsidR="00861626" w:rsidRPr="00861626" w:rsidRDefault="00861626" w:rsidP="00861626">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Ongoing compliance visibility</w:t>
      </w:r>
      <w:r w:rsidRPr="00861626">
        <w:rPr>
          <w:rFonts w:ascii="Times New Roman" w:eastAsia="Times New Roman" w:hAnsi="Times New Roman" w:cs="Times New Roman"/>
          <w:kern w:val="0"/>
          <w:lang w:eastAsia="en-GB"/>
          <w14:ligatures w14:val="none"/>
        </w:rPr>
        <w:t xml:space="preserve"> that replaces the cycle of neglect-and-scramble with continuous oversight</w:t>
      </w:r>
    </w:p>
    <w:p w14:paraId="1EE385F4"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The employers who are genuinely ready for an unannounced visit are not the ones who prepare hardest. They are the ones whose systems make preparation unnecessary.</w:t>
      </w:r>
    </w:p>
    <w:p w14:paraId="1996B4E3"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If you hold a sponsor licence and want to understand how audit-ready you actually are, </w:t>
      </w:r>
      <w:hyperlink r:id="rId12" w:history="1">
        <w:r w:rsidRPr="00861626">
          <w:rPr>
            <w:rFonts w:ascii="Times New Roman" w:eastAsia="Times New Roman" w:hAnsi="Times New Roman" w:cs="Times New Roman"/>
            <w:color w:val="0000FF"/>
            <w:kern w:val="0"/>
            <w:u w:val="single"/>
            <w:lang w:eastAsia="en-GB"/>
            <w14:ligatures w14:val="none"/>
          </w:rPr>
          <w:t>get in touch</w:t>
        </w:r>
      </w:hyperlink>
      <w:r w:rsidRPr="00861626">
        <w:rPr>
          <w:rFonts w:ascii="Times New Roman" w:eastAsia="Times New Roman" w:hAnsi="Times New Roman" w:cs="Times New Roman"/>
          <w:kern w:val="0"/>
          <w:lang w:eastAsia="en-GB"/>
          <w14:ligatures w14:val="none"/>
        </w:rPr>
        <w:t>.</w:t>
      </w:r>
    </w:p>
    <w:p w14:paraId="45A63ABC" w14:textId="77777777" w:rsidR="00861626" w:rsidRPr="00861626" w:rsidRDefault="00861626" w:rsidP="00861626">
      <w:pPr>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 xml:space="preserve">&lt;!-- Internal link placeholder: [Understanding your sponsor licence obligations →](/blog/sponsor-licence-duties-guide) --&gt; &lt;!-- Internal link placeholder: [Certificate of Sponsorship: what employers need to know →](/blog/certificate-of-sponsorship-guide) --&gt; </w:t>
      </w:r>
    </w:p>
    <w:p w14:paraId="15282913" w14:textId="77777777" w:rsidR="00861626" w:rsidRPr="00861626" w:rsidRDefault="00861626" w:rsidP="0086162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1626">
        <w:rPr>
          <w:rFonts w:ascii="Times New Roman" w:eastAsia="Times New Roman" w:hAnsi="Times New Roman" w:cs="Times New Roman"/>
          <w:b/>
          <w:bCs/>
          <w:kern w:val="0"/>
          <w:sz w:val="36"/>
          <w:szCs w:val="36"/>
          <w:lang w:eastAsia="en-GB"/>
          <w14:ligatures w14:val="none"/>
        </w:rPr>
        <w:t>Frequently Asked Questions</w:t>
      </w:r>
    </w:p>
    <w:p w14:paraId="40BC6B29"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How much notice will I get before a compliance visit?</w:t>
      </w:r>
    </w:p>
    <w:p w14:paraId="1767D2A6"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For announced visits, you will typically receive a few weeks' notice by letter or email. However, the Home Office can and does conduct unannounced visits with no prior notification. Post-licence visits in particular may be unannounced, especially where the visit is triggered by specific concerns or intelligence. The only reliable preparation strategy is maintaining continuous compliance readiness.</w:t>
      </w:r>
    </w:p>
    <w:p w14:paraId="0508DA1D"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Can I refuse or reschedule a compliance visit?</w:t>
      </w:r>
    </w:p>
    <w:p w14:paraId="3FA439AA"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lastRenderedPageBreak/>
        <w:t>Refusing a visit is likely to be treated as non-cooperation and could itself trigger enforcement action. Rescheduling an announced visit may be possible in limited circumstances, but the Home Office is under no obligation to accommodate requests. For unannounced visits, rescheduling is not an option — officials will expect access on the day they arrive.</w:t>
      </w:r>
    </w:p>
    <w:p w14:paraId="1A451244"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Do auditors always interview sponsored workers?</w:t>
      </w:r>
    </w:p>
    <w:p w14:paraId="66DA7692"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Not always, but frequently. Worker interviews are a standard tool and may be conducted without the employer present. Auditors use them to verify that the employee's understanding of their role, duties, and salary is consistent with sponsorship records. You cannot script or coach employees for these interviews — and attempting to do so, if discovered, would create a serious credibility problem.</w:t>
      </w:r>
    </w:p>
    <w:p w14:paraId="66039DE5"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What if we identify compliance gaps during our own preparation?</w:t>
      </w:r>
    </w:p>
    <w:p w14:paraId="33CD58BF"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Fix them before the visit and document that you did so. The Home Office looks more favourably on organisations that identify and remediate issues proactively than on those where the same issues are discovered by auditors. Self-identified and corrected gaps, supported by evidence of the remediation, demonstrate exactly the kind of compliance maturity the Home Office wants to see.</w:t>
      </w:r>
    </w:p>
    <w:p w14:paraId="67D26935"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Are multi-site employers audited at every location?</w:t>
      </w:r>
    </w:p>
    <w:p w14:paraId="0E1AFD95"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Not necessarily at every location in a single visit, but auditors can and do visit satellite sites — and compliance standards are expected to be consistent across all locations. A common failure pattern is strong compliance at head office with significant gaps at operational sites. If you operate across multiple locations, your preparation must include those sites, not just your primary office.</w:t>
      </w:r>
    </w:p>
    <w:p w14:paraId="3C7F031D"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b/>
          <w:bCs/>
          <w:kern w:val="0"/>
          <w:lang w:eastAsia="en-GB"/>
          <w14:ligatures w14:val="none"/>
        </w:rPr>
        <w:t>What should I do immediately after the visit ends?</w:t>
      </w:r>
    </w:p>
    <w:p w14:paraId="6FA73C09" w14:textId="77777777"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r w:rsidRPr="00861626">
        <w:rPr>
          <w:rFonts w:ascii="Times New Roman" w:eastAsia="Times New Roman" w:hAnsi="Times New Roman" w:cs="Times New Roman"/>
          <w:kern w:val="0"/>
          <w:lang w:eastAsia="en-GB"/>
          <w14:ligatures w14:val="none"/>
        </w:rPr>
        <w:t>Document everything while it is fresh: what was asked, what documents were reviewed, what concerns were raised, what the auditors' overall demeanour suggested. If the auditors flagged specific issues during the visit, begin addressing them immediately — do not wait for the formal outcome letter. Early remediation strengthens your position regardless of what follows.</w:t>
      </w:r>
    </w:p>
    <w:p w14:paraId="7DB71090" w14:textId="77777777" w:rsidR="00861626" w:rsidRPr="00861626" w:rsidRDefault="000D0BE5" w:rsidP="00861626">
      <w:pPr>
        <w:rPr>
          <w:rFonts w:ascii="Times New Roman" w:eastAsia="Times New Roman" w:hAnsi="Times New Roman" w:cs="Times New Roman"/>
          <w:kern w:val="0"/>
          <w:lang w:eastAsia="en-GB"/>
          <w14:ligatures w14:val="none"/>
        </w:rPr>
      </w:pPr>
      <w:r w:rsidRPr="000D0BE5">
        <w:rPr>
          <w:rFonts w:ascii="Times New Roman" w:eastAsia="Times New Roman" w:hAnsi="Times New Roman" w:cs="Times New Roman"/>
          <w:noProof/>
          <w:kern w:val="0"/>
          <w:lang w:eastAsia="en-GB"/>
        </w:rPr>
        <w:pict w14:anchorId="26C42224">
          <v:rect id="_x0000_i1025" alt="" style="width:451.3pt;height:.05pt;mso-width-percent:0;mso-height-percent:0;mso-width-percent:0;mso-height-percent:0" o:hralign="center" o:hrstd="t" o:hr="t" fillcolor="#a0a0a0" stroked="f"/>
        </w:pict>
      </w:r>
    </w:p>
    <w:p w14:paraId="730368B5" w14:textId="10BC7440" w:rsidR="00861626" w:rsidRPr="00861626" w:rsidRDefault="00861626" w:rsidP="00861626">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61626">
        <w:rPr>
          <w:rFonts w:ascii="Times New Roman" w:eastAsia="Times New Roman" w:hAnsi="Times New Roman" w:cs="Times New Roman"/>
          <w:i/>
          <w:iCs/>
          <w:kern w:val="0"/>
          <w:lang w:eastAsia="en-GB"/>
          <w14:ligatures w14:val="none"/>
        </w:rPr>
        <w:t>SoftHire</w:t>
      </w:r>
      <w:proofErr w:type="spellEnd"/>
      <w:r w:rsidRPr="00861626">
        <w:rPr>
          <w:rFonts w:ascii="Times New Roman" w:eastAsia="Times New Roman" w:hAnsi="Times New Roman" w:cs="Times New Roman"/>
          <w:i/>
          <w:iCs/>
          <w:kern w:val="0"/>
          <w:lang w:eastAsia="en-GB"/>
          <w14:ligatures w14:val="none"/>
        </w:rPr>
        <w:t xml:space="preserve"> is an IAA-regulated immigration law </w:t>
      </w:r>
      <w:r>
        <w:rPr>
          <w:rFonts w:ascii="Times New Roman" w:eastAsia="Times New Roman" w:hAnsi="Times New Roman" w:cs="Times New Roman"/>
          <w:i/>
          <w:iCs/>
          <w:kern w:val="0"/>
          <w:lang w:eastAsia="en-GB"/>
          <w14:ligatures w14:val="none"/>
        </w:rPr>
        <w:t>advisory</w:t>
      </w:r>
      <w:r w:rsidRPr="00861626">
        <w:rPr>
          <w:rFonts w:ascii="Times New Roman" w:eastAsia="Times New Roman" w:hAnsi="Times New Roman" w:cs="Times New Roman"/>
          <w:i/>
          <w:iCs/>
          <w:kern w:val="0"/>
          <w:lang w:eastAsia="en-GB"/>
          <w14:ligatures w14:val="none"/>
        </w:rPr>
        <w:t xml:space="preserve"> helping UK employers manage sponsor licence compliance through structured workflows and operational oversight. </w:t>
      </w:r>
      <w:hyperlink r:id="rId13" w:history="1">
        <w:r w:rsidRPr="00861626">
          <w:rPr>
            <w:rFonts w:ascii="Times New Roman" w:eastAsia="Times New Roman" w:hAnsi="Times New Roman" w:cs="Times New Roman"/>
            <w:i/>
            <w:iCs/>
            <w:color w:val="0000FF"/>
            <w:kern w:val="0"/>
            <w:u w:val="single"/>
            <w:lang w:eastAsia="en-GB"/>
            <w14:ligatures w14:val="none"/>
          </w:rPr>
          <w:t>Learn more about how we work →</w:t>
        </w:r>
      </w:hyperlink>
    </w:p>
    <w:p w14:paraId="1FF0DB1F" w14:textId="7BCD5D59" w:rsidR="00680062" w:rsidRDefault="00680062"/>
    <w:sectPr w:rsidR="006800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0AE" w14:textId="77777777" w:rsidR="000D0BE5" w:rsidRDefault="000D0BE5" w:rsidP="00861626">
      <w:r>
        <w:separator/>
      </w:r>
    </w:p>
  </w:endnote>
  <w:endnote w:type="continuationSeparator" w:id="0">
    <w:p w14:paraId="195C696D" w14:textId="77777777" w:rsidR="000D0BE5" w:rsidRDefault="000D0BE5" w:rsidP="00861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6F4A3" w14:textId="77777777" w:rsidR="000D0BE5" w:rsidRDefault="000D0BE5" w:rsidP="00861626">
      <w:r>
        <w:separator/>
      </w:r>
    </w:p>
  </w:footnote>
  <w:footnote w:type="continuationSeparator" w:id="0">
    <w:p w14:paraId="0384C701" w14:textId="77777777" w:rsidR="000D0BE5" w:rsidRDefault="000D0BE5" w:rsidP="00861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1D98"/>
    <w:multiLevelType w:val="multilevel"/>
    <w:tmpl w:val="F70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42B1"/>
    <w:multiLevelType w:val="multilevel"/>
    <w:tmpl w:val="912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3210"/>
    <w:multiLevelType w:val="multilevel"/>
    <w:tmpl w:val="A4E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57A86"/>
    <w:multiLevelType w:val="multilevel"/>
    <w:tmpl w:val="4DA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C628C"/>
    <w:multiLevelType w:val="multilevel"/>
    <w:tmpl w:val="AE0C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94B3C"/>
    <w:multiLevelType w:val="multilevel"/>
    <w:tmpl w:val="FF8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C5E07"/>
    <w:multiLevelType w:val="multilevel"/>
    <w:tmpl w:val="E8C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326FE"/>
    <w:multiLevelType w:val="multilevel"/>
    <w:tmpl w:val="439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D5735"/>
    <w:multiLevelType w:val="multilevel"/>
    <w:tmpl w:val="8C5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E06CC"/>
    <w:multiLevelType w:val="multilevel"/>
    <w:tmpl w:val="FD6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8707A"/>
    <w:multiLevelType w:val="multilevel"/>
    <w:tmpl w:val="A63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345E2"/>
    <w:multiLevelType w:val="multilevel"/>
    <w:tmpl w:val="7C70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978FA"/>
    <w:multiLevelType w:val="multilevel"/>
    <w:tmpl w:val="B25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777C7"/>
    <w:multiLevelType w:val="multilevel"/>
    <w:tmpl w:val="CCF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373DB"/>
    <w:multiLevelType w:val="multilevel"/>
    <w:tmpl w:val="ACE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42448"/>
    <w:multiLevelType w:val="multilevel"/>
    <w:tmpl w:val="4FE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609BA"/>
    <w:multiLevelType w:val="multilevel"/>
    <w:tmpl w:val="8FFA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95AA8"/>
    <w:multiLevelType w:val="multilevel"/>
    <w:tmpl w:val="623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70099"/>
    <w:multiLevelType w:val="multilevel"/>
    <w:tmpl w:val="436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64405"/>
    <w:multiLevelType w:val="hybridMultilevel"/>
    <w:tmpl w:val="86BC3F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4C1E2B"/>
    <w:multiLevelType w:val="multilevel"/>
    <w:tmpl w:val="038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236BB"/>
    <w:multiLevelType w:val="multilevel"/>
    <w:tmpl w:val="D23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D3BAD"/>
    <w:multiLevelType w:val="multilevel"/>
    <w:tmpl w:val="128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65936"/>
    <w:multiLevelType w:val="multilevel"/>
    <w:tmpl w:val="89E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F0DB0"/>
    <w:multiLevelType w:val="multilevel"/>
    <w:tmpl w:val="8AA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7659A"/>
    <w:multiLevelType w:val="multilevel"/>
    <w:tmpl w:val="0C52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01B20"/>
    <w:multiLevelType w:val="multilevel"/>
    <w:tmpl w:val="9F8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17CF2"/>
    <w:multiLevelType w:val="multilevel"/>
    <w:tmpl w:val="403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83A66"/>
    <w:multiLevelType w:val="multilevel"/>
    <w:tmpl w:val="21CA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33CAF"/>
    <w:multiLevelType w:val="multilevel"/>
    <w:tmpl w:val="7B6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45929"/>
    <w:multiLevelType w:val="multilevel"/>
    <w:tmpl w:val="894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B5FCF"/>
    <w:multiLevelType w:val="multilevel"/>
    <w:tmpl w:val="AF5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C67D09"/>
    <w:multiLevelType w:val="multilevel"/>
    <w:tmpl w:val="402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E7E37"/>
    <w:multiLevelType w:val="multilevel"/>
    <w:tmpl w:val="C5A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C0402B"/>
    <w:multiLevelType w:val="multilevel"/>
    <w:tmpl w:val="C81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85136"/>
    <w:multiLevelType w:val="multilevel"/>
    <w:tmpl w:val="753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24CC2"/>
    <w:multiLevelType w:val="multilevel"/>
    <w:tmpl w:val="FB5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030264"/>
    <w:multiLevelType w:val="multilevel"/>
    <w:tmpl w:val="B23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23E47"/>
    <w:multiLevelType w:val="multilevel"/>
    <w:tmpl w:val="BB28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757AB5"/>
    <w:multiLevelType w:val="hybridMultilevel"/>
    <w:tmpl w:val="93743A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84F2680"/>
    <w:multiLevelType w:val="multilevel"/>
    <w:tmpl w:val="60F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354632"/>
    <w:multiLevelType w:val="multilevel"/>
    <w:tmpl w:val="778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37606D"/>
    <w:multiLevelType w:val="multilevel"/>
    <w:tmpl w:val="103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15B87"/>
    <w:multiLevelType w:val="multilevel"/>
    <w:tmpl w:val="32A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731FF1"/>
    <w:multiLevelType w:val="multilevel"/>
    <w:tmpl w:val="0A5E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B33AF"/>
    <w:multiLevelType w:val="hybridMultilevel"/>
    <w:tmpl w:val="E81895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EE91DCF"/>
    <w:multiLevelType w:val="multilevel"/>
    <w:tmpl w:val="674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85AD2"/>
    <w:multiLevelType w:val="multilevel"/>
    <w:tmpl w:val="0A1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450F3E"/>
    <w:multiLevelType w:val="multilevel"/>
    <w:tmpl w:val="017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14617B"/>
    <w:multiLevelType w:val="multilevel"/>
    <w:tmpl w:val="DB64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3A50B5"/>
    <w:multiLevelType w:val="multilevel"/>
    <w:tmpl w:val="F97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F03C1F"/>
    <w:multiLevelType w:val="multilevel"/>
    <w:tmpl w:val="4C3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DE5D48"/>
    <w:multiLevelType w:val="multilevel"/>
    <w:tmpl w:val="B47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EB2EDC"/>
    <w:multiLevelType w:val="multilevel"/>
    <w:tmpl w:val="CBF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F44F16"/>
    <w:multiLevelType w:val="multilevel"/>
    <w:tmpl w:val="AE3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EE4C46"/>
    <w:multiLevelType w:val="multilevel"/>
    <w:tmpl w:val="AB0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83075">
    <w:abstractNumId w:val="36"/>
  </w:num>
  <w:num w:numId="2" w16cid:durableId="73406419">
    <w:abstractNumId w:val="33"/>
  </w:num>
  <w:num w:numId="3" w16cid:durableId="413938254">
    <w:abstractNumId w:val="24"/>
  </w:num>
  <w:num w:numId="4" w16cid:durableId="1532691021">
    <w:abstractNumId w:val="13"/>
  </w:num>
  <w:num w:numId="5" w16cid:durableId="255555373">
    <w:abstractNumId w:val="53"/>
  </w:num>
  <w:num w:numId="6" w16cid:durableId="1500658881">
    <w:abstractNumId w:val="35"/>
  </w:num>
  <w:num w:numId="7" w16cid:durableId="1674986563">
    <w:abstractNumId w:val="7"/>
  </w:num>
  <w:num w:numId="8" w16cid:durableId="288166606">
    <w:abstractNumId w:val="5"/>
  </w:num>
  <w:num w:numId="9" w16cid:durableId="954168347">
    <w:abstractNumId w:val="12"/>
  </w:num>
  <w:num w:numId="10" w16cid:durableId="1541935496">
    <w:abstractNumId w:val="54"/>
  </w:num>
  <w:num w:numId="11" w16cid:durableId="911042891">
    <w:abstractNumId w:val="28"/>
  </w:num>
  <w:num w:numId="12" w16cid:durableId="1015958227">
    <w:abstractNumId w:val="23"/>
  </w:num>
  <w:num w:numId="13" w16cid:durableId="282002451">
    <w:abstractNumId w:val="30"/>
  </w:num>
  <w:num w:numId="14" w16cid:durableId="655840785">
    <w:abstractNumId w:val="10"/>
  </w:num>
  <w:num w:numId="15" w16cid:durableId="1721054492">
    <w:abstractNumId w:val="50"/>
  </w:num>
  <w:num w:numId="16" w16cid:durableId="456993061">
    <w:abstractNumId w:val="25"/>
  </w:num>
  <w:num w:numId="17" w16cid:durableId="432366371">
    <w:abstractNumId w:val="22"/>
  </w:num>
  <w:num w:numId="18" w16cid:durableId="492256592">
    <w:abstractNumId w:val="39"/>
  </w:num>
  <w:num w:numId="19" w16cid:durableId="638649624">
    <w:abstractNumId w:val="19"/>
  </w:num>
  <w:num w:numId="20" w16cid:durableId="1127504584">
    <w:abstractNumId w:val="45"/>
  </w:num>
  <w:num w:numId="21" w16cid:durableId="1818916242">
    <w:abstractNumId w:val="0"/>
  </w:num>
  <w:num w:numId="22" w16cid:durableId="1298560962">
    <w:abstractNumId w:val="27"/>
  </w:num>
  <w:num w:numId="23" w16cid:durableId="2090812230">
    <w:abstractNumId w:val="16"/>
  </w:num>
  <w:num w:numId="24" w16cid:durableId="1236891839">
    <w:abstractNumId w:val="6"/>
  </w:num>
  <w:num w:numId="25" w16cid:durableId="2118133912">
    <w:abstractNumId w:val="14"/>
  </w:num>
  <w:num w:numId="26" w16cid:durableId="66539497">
    <w:abstractNumId w:val="52"/>
  </w:num>
  <w:num w:numId="27" w16cid:durableId="983587871">
    <w:abstractNumId w:val="42"/>
  </w:num>
  <w:num w:numId="28" w16cid:durableId="2068453730">
    <w:abstractNumId w:val="32"/>
  </w:num>
  <w:num w:numId="29" w16cid:durableId="1096172764">
    <w:abstractNumId w:val="4"/>
  </w:num>
  <w:num w:numId="30" w16cid:durableId="1304432678">
    <w:abstractNumId w:val="51"/>
  </w:num>
  <w:num w:numId="31" w16cid:durableId="2075617727">
    <w:abstractNumId w:val="26"/>
  </w:num>
  <w:num w:numId="32" w16cid:durableId="1443378823">
    <w:abstractNumId w:val="1"/>
  </w:num>
  <w:num w:numId="33" w16cid:durableId="1016007606">
    <w:abstractNumId w:val="17"/>
  </w:num>
  <w:num w:numId="34" w16cid:durableId="1457062450">
    <w:abstractNumId w:val="55"/>
  </w:num>
  <w:num w:numId="35" w16cid:durableId="832405108">
    <w:abstractNumId w:val="46"/>
  </w:num>
  <w:num w:numId="36" w16cid:durableId="1066143146">
    <w:abstractNumId w:val="8"/>
  </w:num>
  <w:num w:numId="37" w16cid:durableId="1413236009">
    <w:abstractNumId w:val="44"/>
  </w:num>
  <w:num w:numId="38" w16cid:durableId="1557278311">
    <w:abstractNumId w:val="3"/>
  </w:num>
  <w:num w:numId="39" w16cid:durableId="2106806973">
    <w:abstractNumId w:val="41"/>
  </w:num>
  <w:num w:numId="40" w16cid:durableId="1867870431">
    <w:abstractNumId w:val="47"/>
  </w:num>
  <w:num w:numId="41" w16cid:durableId="1110390228">
    <w:abstractNumId w:val="48"/>
  </w:num>
  <w:num w:numId="42" w16cid:durableId="165092486">
    <w:abstractNumId w:val="31"/>
  </w:num>
  <w:num w:numId="43" w16cid:durableId="1213880644">
    <w:abstractNumId w:val="43"/>
  </w:num>
  <w:num w:numId="44" w16cid:durableId="1709455183">
    <w:abstractNumId w:val="37"/>
  </w:num>
  <w:num w:numId="45" w16cid:durableId="807472353">
    <w:abstractNumId w:val="11"/>
  </w:num>
  <w:num w:numId="46" w16cid:durableId="1908614223">
    <w:abstractNumId w:val="40"/>
  </w:num>
  <w:num w:numId="47" w16cid:durableId="1395472132">
    <w:abstractNumId w:val="20"/>
  </w:num>
  <w:num w:numId="48" w16cid:durableId="1807552806">
    <w:abstractNumId w:val="34"/>
  </w:num>
  <w:num w:numId="49" w16cid:durableId="307520585">
    <w:abstractNumId w:val="9"/>
  </w:num>
  <w:num w:numId="50" w16cid:durableId="546794837">
    <w:abstractNumId w:val="2"/>
  </w:num>
  <w:num w:numId="51" w16cid:durableId="2040467644">
    <w:abstractNumId w:val="18"/>
  </w:num>
  <w:num w:numId="52" w16cid:durableId="1581522850">
    <w:abstractNumId w:val="29"/>
  </w:num>
  <w:num w:numId="53" w16cid:durableId="1469199653">
    <w:abstractNumId w:val="21"/>
  </w:num>
  <w:num w:numId="54" w16cid:durableId="790785747">
    <w:abstractNumId w:val="15"/>
  </w:num>
  <w:num w:numId="55" w16cid:durableId="1023089651">
    <w:abstractNumId w:val="38"/>
  </w:num>
  <w:num w:numId="56" w16cid:durableId="103700660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62"/>
    <w:rsid w:val="000201A0"/>
    <w:rsid w:val="000D0BE5"/>
    <w:rsid w:val="00680062"/>
    <w:rsid w:val="00861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2108"/>
  <w15:chartTrackingRefBased/>
  <w15:docId w15:val="{729B7883-C73B-3F44-B92C-D621B36A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0062"/>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8006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68006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06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8006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680062"/>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680062"/>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680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8006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80062"/>
    <w:rPr>
      <w:rFonts w:ascii="Courier New" w:eastAsia="Times New Roman" w:hAnsi="Courier New" w:cs="Courier New"/>
      <w:sz w:val="20"/>
      <w:szCs w:val="20"/>
    </w:rPr>
  </w:style>
  <w:style w:type="character" w:styleId="Strong">
    <w:name w:val="Strong"/>
    <w:basedOn w:val="DefaultParagraphFont"/>
    <w:uiPriority w:val="22"/>
    <w:qFormat/>
    <w:rsid w:val="00680062"/>
    <w:rPr>
      <w:b/>
      <w:bCs/>
    </w:rPr>
  </w:style>
  <w:style w:type="paragraph" w:styleId="ListParagraph">
    <w:name w:val="List Paragraph"/>
    <w:basedOn w:val="Normal"/>
    <w:uiPriority w:val="34"/>
    <w:qFormat/>
    <w:rsid w:val="00680062"/>
    <w:pPr>
      <w:ind w:left="720"/>
      <w:contextualSpacing/>
    </w:pPr>
  </w:style>
  <w:style w:type="paragraph" w:styleId="Header">
    <w:name w:val="header"/>
    <w:basedOn w:val="Normal"/>
    <w:link w:val="HeaderChar"/>
    <w:uiPriority w:val="99"/>
    <w:unhideWhenUsed/>
    <w:rsid w:val="00861626"/>
    <w:pPr>
      <w:tabs>
        <w:tab w:val="center" w:pos="4513"/>
        <w:tab w:val="right" w:pos="9026"/>
      </w:tabs>
    </w:pPr>
  </w:style>
  <w:style w:type="character" w:customStyle="1" w:styleId="HeaderChar">
    <w:name w:val="Header Char"/>
    <w:basedOn w:val="DefaultParagraphFont"/>
    <w:link w:val="Header"/>
    <w:uiPriority w:val="99"/>
    <w:rsid w:val="00861626"/>
  </w:style>
  <w:style w:type="paragraph" w:styleId="Footer">
    <w:name w:val="footer"/>
    <w:basedOn w:val="Normal"/>
    <w:link w:val="FooterChar"/>
    <w:uiPriority w:val="99"/>
    <w:unhideWhenUsed/>
    <w:rsid w:val="00861626"/>
    <w:pPr>
      <w:tabs>
        <w:tab w:val="center" w:pos="4513"/>
        <w:tab w:val="right" w:pos="9026"/>
      </w:tabs>
    </w:pPr>
  </w:style>
  <w:style w:type="character" w:customStyle="1" w:styleId="FooterChar">
    <w:name w:val="Footer Char"/>
    <w:basedOn w:val="DefaultParagraphFont"/>
    <w:link w:val="Footer"/>
    <w:uiPriority w:val="99"/>
    <w:rsid w:val="00861626"/>
  </w:style>
  <w:style w:type="character" w:styleId="Hyperlink">
    <w:name w:val="Hyperlink"/>
    <w:basedOn w:val="DefaultParagraphFont"/>
    <w:uiPriority w:val="99"/>
    <w:semiHidden/>
    <w:unhideWhenUsed/>
    <w:rsid w:val="00861626"/>
    <w:rPr>
      <w:color w:val="0000FF"/>
      <w:u w:val="single"/>
    </w:rPr>
  </w:style>
  <w:style w:type="character" w:styleId="Emphasis">
    <w:name w:val="Emphasis"/>
    <w:basedOn w:val="DefaultParagraphFont"/>
    <w:uiPriority w:val="20"/>
    <w:qFormat/>
    <w:rsid w:val="008616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16563">
      <w:bodyDiv w:val="1"/>
      <w:marLeft w:val="0"/>
      <w:marRight w:val="0"/>
      <w:marTop w:val="0"/>
      <w:marBottom w:val="0"/>
      <w:divBdr>
        <w:top w:val="none" w:sz="0" w:space="0" w:color="auto"/>
        <w:left w:val="none" w:sz="0" w:space="0" w:color="auto"/>
        <w:bottom w:val="none" w:sz="0" w:space="0" w:color="auto"/>
        <w:right w:val="none" w:sz="0" w:space="0" w:color="auto"/>
      </w:divBdr>
      <w:divsChild>
        <w:div w:id="1788088196">
          <w:marLeft w:val="0"/>
          <w:marRight w:val="0"/>
          <w:marTop w:val="0"/>
          <w:marBottom w:val="0"/>
          <w:divBdr>
            <w:top w:val="none" w:sz="0" w:space="0" w:color="auto"/>
            <w:left w:val="none" w:sz="0" w:space="0" w:color="auto"/>
            <w:bottom w:val="none" w:sz="0" w:space="0" w:color="auto"/>
            <w:right w:val="none" w:sz="0" w:space="0" w:color="auto"/>
          </w:divBdr>
          <w:divsChild>
            <w:div w:id="1527448802">
              <w:marLeft w:val="0"/>
              <w:marRight w:val="0"/>
              <w:marTop w:val="0"/>
              <w:marBottom w:val="0"/>
              <w:divBdr>
                <w:top w:val="none" w:sz="0" w:space="0" w:color="auto"/>
                <w:left w:val="none" w:sz="0" w:space="0" w:color="auto"/>
                <w:bottom w:val="none" w:sz="0" w:space="0" w:color="auto"/>
                <w:right w:val="none" w:sz="0" w:space="0" w:color="auto"/>
              </w:divBdr>
              <w:divsChild>
                <w:div w:id="1557353914">
                  <w:marLeft w:val="0"/>
                  <w:marRight w:val="0"/>
                  <w:marTop w:val="0"/>
                  <w:marBottom w:val="0"/>
                  <w:divBdr>
                    <w:top w:val="none" w:sz="0" w:space="0" w:color="auto"/>
                    <w:left w:val="none" w:sz="0" w:space="0" w:color="auto"/>
                    <w:bottom w:val="none" w:sz="0" w:space="0" w:color="auto"/>
                    <w:right w:val="none" w:sz="0" w:space="0" w:color="auto"/>
                  </w:divBdr>
                  <w:divsChild>
                    <w:div w:id="1944726677">
                      <w:marLeft w:val="0"/>
                      <w:marRight w:val="0"/>
                      <w:marTop w:val="0"/>
                      <w:marBottom w:val="0"/>
                      <w:divBdr>
                        <w:top w:val="none" w:sz="0" w:space="0" w:color="auto"/>
                        <w:left w:val="none" w:sz="0" w:space="0" w:color="auto"/>
                        <w:bottom w:val="none" w:sz="0" w:space="0" w:color="auto"/>
                        <w:right w:val="none" w:sz="0" w:space="0" w:color="auto"/>
                      </w:divBdr>
                      <w:divsChild>
                        <w:div w:id="1074746330">
                          <w:marLeft w:val="0"/>
                          <w:marRight w:val="0"/>
                          <w:marTop w:val="0"/>
                          <w:marBottom w:val="0"/>
                          <w:divBdr>
                            <w:top w:val="none" w:sz="0" w:space="0" w:color="auto"/>
                            <w:left w:val="none" w:sz="0" w:space="0" w:color="auto"/>
                            <w:bottom w:val="none" w:sz="0" w:space="0" w:color="auto"/>
                            <w:right w:val="none" w:sz="0" w:space="0" w:color="auto"/>
                          </w:divBdr>
                          <w:divsChild>
                            <w:div w:id="1704600577">
                              <w:marLeft w:val="0"/>
                              <w:marRight w:val="0"/>
                              <w:marTop w:val="0"/>
                              <w:marBottom w:val="0"/>
                              <w:divBdr>
                                <w:top w:val="none" w:sz="0" w:space="0" w:color="auto"/>
                                <w:left w:val="none" w:sz="0" w:space="0" w:color="auto"/>
                                <w:bottom w:val="none" w:sz="0" w:space="0" w:color="auto"/>
                                <w:right w:val="none" w:sz="0" w:space="0" w:color="auto"/>
                              </w:divBdr>
                              <w:divsChild>
                                <w:div w:id="707951427">
                                  <w:marLeft w:val="0"/>
                                  <w:marRight w:val="0"/>
                                  <w:marTop w:val="0"/>
                                  <w:marBottom w:val="0"/>
                                  <w:divBdr>
                                    <w:top w:val="none" w:sz="0" w:space="0" w:color="auto"/>
                                    <w:left w:val="none" w:sz="0" w:space="0" w:color="auto"/>
                                    <w:bottom w:val="none" w:sz="0" w:space="0" w:color="auto"/>
                                    <w:right w:val="none" w:sz="0" w:space="0" w:color="auto"/>
                                  </w:divBdr>
                                  <w:divsChild>
                                    <w:div w:id="1788311144">
                                      <w:marLeft w:val="0"/>
                                      <w:marRight w:val="0"/>
                                      <w:marTop w:val="0"/>
                                      <w:marBottom w:val="0"/>
                                      <w:divBdr>
                                        <w:top w:val="none" w:sz="0" w:space="0" w:color="auto"/>
                                        <w:left w:val="none" w:sz="0" w:space="0" w:color="auto"/>
                                        <w:bottom w:val="none" w:sz="0" w:space="0" w:color="auto"/>
                                        <w:right w:val="none" w:sz="0" w:space="0" w:color="auto"/>
                                      </w:divBdr>
                                      <w:divsChild>
                                        <w:div w:id="1097139320">
                                          <w:marLeft w:val="0"/>
                                          <w:marRight w:val="0"/>
                                          <w:marTop w:val="0"/>
                                          <w:marBottom w:val="0"/>
                                          <w:divBdr>
                                            <w:top w:val="none" w:sz="0" w:space="0" w:color="auto"/>
                                            <w:left w:val="none" w:sz="0" w:space="0" w:color="auto"/>
                                            <w:bottom w:val="none" w:sz="0" w:space="0" w:color="auto"/>
                                            <w:right w:val="none" w:sz="0" w:space="0" w:color="auto"/>
                                          </w:divBdr>
                                          <w:divsChild>
                                            <w:div w:id="689179697">
                                              <w:marLeft w:val="0"/>
                                              <w:marRight w:val="0"/>
                                              <w:marTop w:val="0"/>
                                              <w:marBottom w:val="0"/>
                                              <w:divBdr>
                                                <w:top w:val="none" w:sz="0" w:space="0" w:color="auto"/>
                                                <w:left w:val="none" w:sz="0" w:space="0" w:color="auto"/>
                                                <w:bottom w:val="none" w:sz="0" w:space="0" w:color="auto"/>
                                                <w:right w:val="none" w:sz="0" w:space="0" w:color="auto"/>
                                              </w:divBdr>
                                              <w:divsChild>
                                                <w:div w:id="808090220">
                                                  <w:marLeft w:val="0"/>
                                                  <w:marRight w:val="0"/>
                                                  <w:marTop w:val="0"/>
                                                  <w:marBottom w:val="0"/>
                                                  <w:divBdr>
                                                    <w:top w:val="none" w:sz="0" w:space="0" w:color="auto"/>
                                                    <w:left w:val="none" w:sz="0" w:space="0" w:color="auto"/>
                                                    <w:bottom w:val="none" w:sz="0" w:space="0" w:color="auto"/>
                                                    <w:right w:val="none" w:sz="0" w:space="0" w:color="auto"/>
                                                  </w:divBdr>
                                                  <w:divsChild>
                                                    <w:div w:id="19469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723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383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900673">
      <w:bodyDiv w:val="1"/>
      <w:marLeft w:val="0"/>
      <w:marRight w:val="0"/>
      <w:marTop w:val="0"/>
      <w:marBottom w:val="0"/>
      <w:divBdr>
        <w:top w:val="none" w:sz="0" w:space="0" w:color="auto"/>
        <w:left w:val="none" w:sz="0" w:space="0" w:color="auto"/>
        <w:bottom w:val="none" w:sz="0" w:space="0" w:color="auto"/>
        <w:right w:val="none" w:sz="0" w:space="0" w:color="auto"/>
      </w:divBdr>
      <w:divsChild>
        <w:div w:id="428359364">
          <w:marLeft w:val="0"/>
          <w:marRight w:val="0"/>
          <w:marTop w:val="0"/>
          <w:marBottom w:val="0"/>
          <w:divBdr>
            <w:top w:val="none" w:sz="0" w:space="0" w:color="auto"/>
            <w:left w:val="none" w:sz="0" w:space="0" w:color="auto"/>
            <w:bottom w:val="none" w:sz="0" w:space="0" w:color="auto"/>
            <w:right w:val="none" w:sz="0" w:space="0" w:color="auto"/>
          </w:divBdr>
          <w:divsChild>
            <w:div w:id="37627200">
              <w:marLeft w:val="0"/>
              <w:marRight w:val="0"/>
              <w:marTop w:val="0"/>
              <w:marBottom w:val="0"/>
              <w:divBdr>
                <w:top w:val="none" w:sz="0" w:space="0" w:color="auto"/>
                <w:left w:val="none" w:sz="0" w:space="0" w:color="auto"/>
                <w:bottom w:val="none" w:sz="0" w:space="0" w:color="auto"/>
                <w:right w:val="none" w:sz="0" w:space="0" w:color="auto"/>
              </w:divBdr>
              <w:divsChild>
                <w:div w:id="1288319069">
                  <w:marLeft w:val="0"/>
                  <w:marRight w:val="0"/>
                  <w:marTop w:val="0"/>
                  <w:marBottom w:val="0"/>
                  <w:divBdr>
                    <w:top w:val="none" w:sz="0" w:space="0" w:color="auto"/>
                    <w:left w:val="none" w:sz="0" w:space="0" w:color="auto"/>
                    <w:bottom w:val="none" w:sz="0" w:space="0" w:color="auto"/>
                    <w:right w:val="none" w:sz="0" w:space="0" w:color="auto"/>
                  </w:divBdr>
                  <w:divsChild>
                    <w:div w:id="829753069">
                      <w:marLeft w:val="0"/>
                      <w:marRight w:val="0"/>
                      <w:marTop w:val="0"/>
                      <w:marBottom w:val="0"/>
                      <w:divBdr>
                        <w:top w:val="none" w:sz="0" w:space="0" w:color="auto"/>
                        <w:left w:val="none" w:sz="0" w:space="0" w:color="auto"/>
                        <w:bottom w:val="none" w:sz="0" w:space="0" w:color="auto"/>
                        <w:right w:val="none" w:sz="0" w:space="0" w:color="auto"/>
                      </w:divBdr>
                      <w:divsChild>
                        <w:div w:id="1068502548">
                          <w:marLeft w:val="0"/>
                          <w:marRight w:val="0"/>
                          <w:marTop w:val="0"/>
                          <w:marBottom w:val="0"/>
                          <w:divBdr>
                            <w:top w:val="none" w:sz="0" w:space="0" w:color="auto"/>
                            <w:left w:val="none" w:sz="0" w:space="0" w:color="auto"/>
                            <w:bottom w:val="none" w:sz="0" w:space="0" w:color="auto"/>
                            <w:right w:val="none" w:sz="0" w:space="0" w:color="auto"/>
                          </w:divBdr>
                          <w:divsChild>
                            <w:div w:id="198125792">
                              <w:marLeft w:val="0"/>
                              <w:marRight w:val="0"/>
                              <w:marTop w:val="0"/>
                              <w:marBottom w:val="0"/>
                              <w:divBdr>
                                <w:top w:val="none" w:sz="0" w:space="0" w:color="auto"/>
                                <w:left w:val="none" w:sz="0" w:space="0" w:color="auto"/>
                                <w:bottom w:val="none" w:sz="0" w:space="0" w:color="auto"/>
                                <w:right w:val="none" w:sz="0" w:space="0" w:color="auto"/>
                              </w:divBdr>
                              <w:divsChild>
                                <w:div w:id="738358217">
                                  <w:marLeft w:val="0"/>
                                  <w:marRight w:val="0"/>
                                  <w:marTop w:val="0"/>
                                  <w:marBottom w:val="0"/>
                                  <w:divBdr>
                                    <w:top w:val="none" w:sz="0" w:space="0" w:color="auto"/>
                                    <w:left w:val="none" w:sz="0" w:space="0" w:color="auto"/>
                                    <w:bottom w:val="none" w:sz="0" w:space="0" w:color="auto"/>
                                    <w:right w:val="none" w:sz="0" w:space="0" w:color="auto"/>
                                  </w:divBdr>
                                  <w:divsChild>
                                    <w:div w:id="1421364804">
                                      <w:marLeft w:val="0"/>
                                      <w:marRight w:val="0"/>
                                      <w:marTop w:val="0"/>
                                      <w:marBottom w:val="0"/>
                                      <w:divBdr>
                                        <w:top w:val="none" w:sz="0" w:space="0" w:color="auto"/>
                                        <w:left w:val="none" w:sz="0" w:space="0" w:color="auto"/>
                                        <w:bottom w:val="none" w:sz="0" w:space="0" w:color="auto"/>
                                        <w:right w:val="none" w:sz="0" w:space="0" w:color="auto"/>
                                      </w:divBdr>
                                      <w:divsChild>
                                        <w:div w:id="1323434193">
                                          <w:marLeft w:val="0"/>
                                          <w:marRight w:val="0"/>
                                          <w:marTop w:val="0"/>
                                          <w:marBottom w:val="0"/>
                                          <w:divBdr>
                                            <w:top w:val="none" w:sz="0" w:space="0" w:color="auto"/>
                                            <w:left w:val="none" w:sz="0" w:space="0" w:color="auto"/>
                                            <w:bottom w:val="none" w:sz="0" w:space="0" w:color="auto"/>
                                            <w:right w:val="none" w:sz="0" w:space="0" w:color="auto"/>
                                          </w:divBdr>
                                          <w:divsChild>
                                            <w:div w:id="1410007709">
                                              <w:marLeft w:val="0"/>
                                              <w:marRight w:val="0"/>
                                              <w:marTop w:val="0"/>
                                              <w:marBottom w:val="0"/>
                                              <w:divBdr>
                                                <w:top w:val="none" w:sz="0" w:space="0" w:color="auto"/>
                                                <w:left w:val="none" w:sz="0" w:space="0" w:color="auto"/>
                                                <w:bottom w:val="none" w:sz="0" w:space="0" w:color="auto"/>
                                                <w:right w:val="none" w:sz="0" w:space="0" w:color="auto"/>
                                              </w:divBdr>
                                              <w:divsChild>
                                                <w:div w:id="137380621">
                                                  <w:marLeft w:val="0"/>
                                                  <w:marRight w:val="0"/>
                                                  <w:marTop w:val="0"/>
                                                  <w:marBottom w:val="0"/>
                                                  <w:divBdr>
                                                    <w:top w:val="none" w:sz="0" w:space="0" w:color="auto"/>
                                                    <w:left w:val="none" w:sz="0" w:space="0" w:color="auto"/>
                                                    <w:bottom w:val="none" w:sz="0" w:space="0" w:color="auto"/>
                                                    <w:right w:val="none" w:sz="0" w:space="0" w:color="auto"/>
                                                  </w:divBdr>
                                                  <w:divsChild>
                                                    <w:div w:id="7922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86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771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07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blog/why-sponsor-licences-get-revoked" TargetMode="External"/><Relationship Id="rId13" Type="http://schemas.openxmlformats.org/officeDocument/2006/relationships/hyperlink" Target="https://claude.ai/about" TargetMode="External"/><Relationship Id="rId3" Type="http://schemas.openxmlformats.org/officeDocument/2006/relationships/settings" Target="settings.xml"/><Relationship Id="rId7" Type="http://schemas.openxmlformats.org/officeDocument/2006/relationships/hyperlink" Target="https://claude.ai/blog/sponsor-licence-suspended-what-happens" TargetMode="External"/><Relationship Id="rId12" Type="http://schemas.openxmlformats.org/officeDocument/2006/relationships/hyperlink" Target="https://claude.ai/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blog/sponsor-licence-suspended-what-happen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laude.ai/blog/why-sponsor-licences-get-revoked" TargetMode="External"/><Relationship Id="rId4" Type="http://schemas.openxmlformats.org/officeDocument/2006/relationships/webSettings" Target="webSettings.xml"/><Relationship Id="rId9" Type="http://schemas.openxmlformats.org/officeDocument/2006/relationships/hyperlink" Target="https://claude.ai/blog/sponsor-licence-suspended-what-happe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2959</Words>
  <Characters>16867</Characters>
  <Application>Microsoft Office Word</Application>
  <DocSecurity>0</DocSecurity>
  <Lines>140</Lines>
  <Paragraphs>39</Paragraphs>
  <ScaleCrop>false</ScaleCrop>
  <Company/>
  <LinksUpToDate>false</LinksUpToDate>
  <CharactersWithSpaces>19787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Mayuka Sah</dc:creator>
  <cp:keywords/>
  <dc:description/>
  <cp:lastModifiedBy>Mayuka Sah</cp:lastModifiedBy>
  <cp:revision>2</cp:revision>
  <dcterms:created xsi:type="dcterms:W3CDTF">2026-05-20T15:35:00Z</dcterms:created>
  <dcterms:modified xsi:type="dcterms:W3CDTF">2026-05-20T16:44:00Z</dcterms:modified>
</cp:coreProperties>
</file>