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fa9pt27biok" w:id="0"/>
      <w:bookmarkEnd w:id="0"/>
      <w:r w:rsidDel="00000000" w:rsidR="00000000" w:rsidRPr="00000000">
        <w:rPr>
          <w:rtl w:val="0"/>
        </w:rPr>
        <w:t xml:space="preserve">Discussion Briefing: The Emerging Consensus for Analog AI Hardware Standardization</w:t>
      </w:r>
    </w:p>
    <w:p w:rsidR="00000000" w:rsidDel="00000000" w:rsidP="00000000" w:rsidRDefault="00000000" w:rsidRPr="00000000" w14:paraId="00000002">
      <w:pPr>
        <w:pStyle w:val="Heading4"/>
        <w:rPr/>
      </w:pPr>
      <w:bookmarkStart w:colFirst="0" w:colLast="0" w:name="_xt028685lb45" w:id="1"/>
      <w:bookmarkEnd w:id="1"/>
      <w:r w:rsidDel="00000000" w:rsidR="00000000" w:rsidRPr="00000000">
        <w:rPr>
          <w:rtl w:val="0"/>
        </w:rPr>
        <w:t xml:space="preserve">1. The Standardization Imperative: From Memory Wall to Metrology Bottleneck</w:t>
      </w:r>
    </w:p>
    <w:p w:rsidR="00000000" w:rsidDel="00000000" w:rsidP="00000000" w:rsidRDefault="00000000" w:rsidRPr="00000000" w14:paraId="00000003">
      <w:pPr>
        <w:rPr/>
      </w:pPr>
      <w:r w:rsidDel="00000000" w:rsidR="00000000" w:rsidRPr="00000000">
        <w:rPr>
          <w:rtl w:val="0"/>
        </w:rPr>
        <w:t xml:space="preserve">The semiconductor industry is at a strategic inflection point, where the path forward is not merely a matter of technical choice but of market creation. For decades, the von Neumann architecture has been the bedrock of computing, but its separation of memory and processing has created an insurmountable "memory wall" for modern artificial intelligence. The unsustainable energy costs of data movement have catalyzed a necessary shift toward Analog In-Memory Computing (AIMC), a paradigm that promises orders-of-magnitude efficiency gains. However, this vibrant new ecosystem faces a second, equally formidable challenge: a standardization bottleneck. Without a common framework, the industry risks fragmenting into a "Balkanized" landscape of proprietary, dead-end technologies that deter investment, stifle innovation, and prevent the emergence of a truly scalable market. This standardization effort is therefore a proactive, strategic move to build that market.The core problem that standardization must solve stems from a set of universal challenges inherent to all analog AI technologies. While the underlying physics of Resistive RAM (ReRAM), Phase-Change Memory (PCM), and Ferroelectric FETs (FeFETs) are diverse, they all manifest a common set of non-ideal behaviors. These include the inherent  </w:t>
      </w:r>
      <w:r w:rsidDel="00000000" w:rsidR="00000000" w:rsidRPr="00000000">
        <w:rPr>
          <w:b w:val="1"/>
          <w:bCs w:val="1"/>
          <w:rtl w:val="0"/>
        </w:rPr>
        <w:t xml:space="preserve">Stochasticity</w:t>
      </w:r>
      <w:r w:rsidDel="00000000" w:rsidR="00000000" w:rsidRPr="00000000">
        <w:rPr>
          <w:rtl w:val="0"/>
        </w:rPr>
        <w:t xml:space="preserve">  of nanoscale physical events (such as the probabilistic formation of conductive filaments in ReRAM); the  </w:t>
      </w:r>
      <w:r w:rsidDel="00000000" w:rsidR="00000000" w:rsidRPr="00000000">
        <w:rPr>
          <w:b w:val="1"/>
          <w:bCs w:val="1"/>
          <w:rtl w:val="0"/>
        </w:rPr>
        <w:t xml:space="preserve">Temporal Drift</w:t>
      </w:r>
      <w:r w:rsidDel="00000000" w:rsidR="00000000" w:rsidRPr="00000000">
        <w:rPr>
          <w:rtl w:val="0"/>
        </w:rPr>
        <w:t xml:space="preserve">  of programmed states over time (e.g., due to structural relaxation in PCM glasses or depolarization fields in FeFETs); the  </w:t>
      </w:r>
      <w:r w:rsidDel="00000000" w:rsidR="00000000" w:rsidRPr="00000000">
        <w:rPr>
          <w:b w:val="1"/>
          <w:bCs w:val="1"/>
          <w:rtl w:val="0"/>
        </w:rPr>
        <w:t xml:space="preserve">Asymmetry</w:t>
      </w:r>
      <w:r w:rsidDel="00000000" w:rsidR="00000000" w:rsidRPr="00000000">
        <w:rPr>
          <w:rtl w:val="0"/>
        </w:rPr>
        <w:t xml:space="preserve">  between programming operations (like the abrupt SET versus gradual RESET in ReRAM); a fundamental  </w:t>
      </w:r>
      <w:r w:rsidDel="00000000" w:rsidR="00000000" w:rsidRPr="00000000">
        <w:rPr>
          <w:b w:val="1"/>
          <w:bCs w:val="1"/>
          <w:rtl w:val="0"/>
        </w:rPr>
        <w:t xml:space="preserve">Noise Floor</w:t>
      </w:r>
      <w:r w:rsidDel="00000000" w:rsidR="00000000" w:rsidRPr="00000000">
        <w:rPr>
          <w:rtl w:val="0"/>
        </w:rPr>
        <w:t xml:space="preserve">  limiting precision (e.g., Random Telegraph Noise from single-electron effects); and the need for a high-fidelity  </w:t>
      </w:r>
      <w:r w:rsidDel="00000000" w:rsidR="00000000" w:rsidRPr="00000000">
        <w:rPr>
          <w:b w:val="1"/>
          <w:bCs w:val="1"/>
          <w:rtl w:val="0"/>
        </w:rPr>
        <w:t xml:space="preserve">Digital Interface</w:t>
      </w:r>
      <w:r w:rsidDel="00000000" w:rsidR="00000000" w:rsidRPr="00000000">
        <w:rPr>
          <w:rtl w:val="0"/>
        </w:rPr>
        <w:t xml:space="preserve"> . Because every market participant faces these same obstacles, a common framework for measuring, specifying, and mitigating these effects is not just beneficial—it is essential for building a reliable, scalable, and certifiable industry.To address this imperative, a foundational consensus has emerged within the technical community, providing a clear and actionable principle to guide the development of a unified standard.</w:t>
      </w:r>
    </w:p>
    <w:p w:rsidR="00000000" w:rsidDel="00000000" w:rsidP="00000000" w:rsidRDefault="00000000" w:rsidRPr="00000000" w14:paraId="00000004">
      <w:pPr>
        <w:pStyle w:val="Heading4"/>
        <w:rPr/>
      </w:pPr>
      <w:bookmarkStart w:colFirst="0" w:colLast="0" w:name="_2b4trdrk92em" w:id="2"/>
      <w:bookmarkEnd w:id="2"/>
      <w:r w:rsidDel="00000000" w:rsidR="00000000" w:rsidRPr="00000000">
        <w:rPr>
          <w:rtl w:val="0"/>
        </w:rPr>
        <w:t xml:space="preserve">2. The Strategic Consensus: Standardize What You Measure, Not How You Build</w:t>
      </w:r>
    </w:p>
    <w:p w:rsidR="00000000" w:rsidDel="00000000" w:rsidP="00000000" w:rsidRDefault="00000000" w:rsidRPr="00000000" w14:paraId="00000005">
      <w:pPr>
        <w:rPr/>
      </w:pPr>
      <w:r w:rsidDel="00000000" w:rsidR="00000000" w:rsidRPr="00000000">
        <w:rPr>
          <w:rtl w:val="0"/>
        </w:rPr>
        <w:t xml:space="preserve">The strategic breakthrough in standardization discussions is the adoption of a core principle:  </w:t>
      </w:r>
      <w:r w:rsidDel="00000000" w:rsidR="00000000" w:rsidRPr="00000000">
        <w:rPr>
          <w:b w:val="1"/>
          <w:bCs w:val="1"/>
          <w:rtl w:val="0"/>
        </w:rPr>
        <w:t xml:space="preserve">"Measure First, Standardize Second."</w:t>
      </w:r>
      <w:r w:rsidDel="00000000" w:rsidR="00000000" w:rsidRPr="00000000">
        <w:rPr>
          <w:rtl w:val="0"/>
        </w:rPr>
        <w:t xml:space="preserve">  This approach focuses on standardizing the  </w:t>
      </w:r>
      <w:r w:rsidDel="00000000" w:rsidR="00000000" w:rsidRPr="00000000">
        <w:rPr>
          <w:i w:val="1"/>
          <w:iCs w:val="1"/>
          <w:rtl w:val="0"/>
        </w:rPr>
        <w:t xml:space="preserve">language of measurement and declaration</w:t>
      </w:r>
      <w:r w:rsidDel="00000000" w:rsidR="00000000" w:rsidRPr="00000000">
        <w:rPr>
          <w:rtl w:val="0"/>
        </w:rPr>
        <w:t xml:space="preserve">  rather than prescribing the internal physics or implementation of the memory devices themselves. This descriptive methodology stands in stark contrast to the flawed alternative of creating a prescriptive standard for internal device mechanisms. A prescriptive standard would inevitably favor one physical approach over another, prematurely picking winners and stifling the very innovation that the analog AI field depends on. By standardizing how we report and verify performance, we create a level playing field that fosters competition and creativity at the device level.The rationale for this consensus is grounded in the observation that while the underlying physics are diverse, they converge on a shared computational paradigm and a common set of functional abstractions. All major analog AI technologies perform computation based on two universal physical laws: Ohm's Law for multiplication (I = G × V) and Kirchhoff's Current Law for accumulation (ΣI). This convergence allows for a universal abstraction where different physical mechanisms map to the same functional purpose: representing a synaptic weight as a continuous state variable.</w:t>
      </w:r>
    </w:p>
    <w:p w:rsidR="00000000" w:rsidDel="00000000" w:rsidP="00000000" w:rsidRDefault="00000000" w:rsidRPr="00000000" w14:paraId="00000006">
      <w:pPr>
        <w:pStyle w:val="Heading5"/>
        <w:rPr/>
      </w:pPr>
      <w:bookmarkStart w:colFirst="0" w:colLast="0" w:name="_tjedqo8cuacz" w:id="3"/>
      <w:bookmarkEnd w:id="3"/>
      <w:r w:rsidDel="00000000" w:rsidR="00000000" w:rsidRPr="00000000">
        <w:rPr>
          <w:rtl w:val="0"/>
        </w:rPr>
        <w:t xml:space="preserve">Universal Abstraction of State Variables</w:t>
      </w:r>
    </w:p>
    <w:p w:rsidR="00000000" w:rsidDel="00000000" w:rsidP="00000000" w:rsidRDefault="00000000" w:rsidRPr="00000000" w14:paraId="00000007">
      <w:pPr>
        <w:rPr/>
      </w:pPr>
      <w:r w:rsidDel="00000000" w:rsidR="00000000" w:rsidRPr="00000000">
        <w:rPr>
          <w:rtl w:val="0"/>
        </w:rPr>
        <w:t xml:space="preserve">Technology,Physical State Variable,Physical Mechanism</w:t>
      </w:r>
    </w:p>
    <w:p w:rsidR="00000000" w:rsidDel="00000000" w:rsidP="00000000" w:rsidRDefault="00000000" w:rsidRPr="00000000" w14:paraId="00000008">
      <w:pPr>
        <w:rPr/>
      </w:pPr>
      <w:r w:rsidDel="00000000" w:rsidR="00000000" w:rsidRPr="00000000">
        <w:rPr>
          <w:rtl w:val="0"/>
        </w:rPr>
        <w:t xml:space="preserve">ReRAM,Filament Conductance,Oxygen vacancy migration</w:t>
      </w:r>
    </w:p>
    <w:p w:rsidR="00000000" w:rsidDel="00000000" w:rsidP="00000000" w:rsidRDefault="00000000" w:rsidRPr="00000000" w14:paraId="00000009">
      <w:pPr>
        <w:rPr/>
      </w:pPr>
      <w:r w:rsidDel="00000000" w:rsidR="00000000" w:rsidRPr="00000000">
        <w:rPr>
          <w:rtl w:val="0"/>
        </w:rPr>
        <w:t xml:space="preserve">PCM,Crystalline-Amorphous Ratio,Chalcogenide phase transition</w:t>
      </w:r>
    </w:p>
    <w:p w:rsidR="00000000" w:rsidDel="00000000" w:rsidP="00000000" w:rsidRDefault="00000000" w:rsidRPr="00000000" w14:paraId="0000000A">
      <w:pPr>
        <w:rPr/>
      </w:pPr>
      <w:r w:rsidDel="00000000" w:rsidR="00000000" w:rsidRPr="00000000">
        <w:rPr>
          <w:rtl w:val="0"/>
        </w:rPr>
        <w:t xml:space="preserve">FeFET,Remnant Polarization (P_r),Ferroelectric domain switching</w:t>
      </w:r>
    </w:p>
    <w:p w:rsidR="00000000" w:rsidDel="00000000" w:rsidP="00000000" w:rsidRDefault="00000000" w:rsidRPr="00000000" w14:paraId="0000000B">
      <w:pPr>
        <w:rPr/>
      </w:pPr>
      <w:r w:rsidDel="00000000" w:rsidR="00000000" w:rsidRPr="00000000">
        <w:rPr>
          <w:rtl w:val="0"/>
        </w:rPr>
        <w:t xml:space="preserve">Flash,Trapped Charge (Q),Fowler-Nordheim tunneling</w:t>
      </w:r>
    </w:p>
    <w:p w:rsidR="00000000" w:rsidDel="00000000" w:rsidP="00000000" w:rsidRDefault="00000000" w:rsidRPr="00000000" w14:paraId="0000000C">
      <w:pPr>
        <w:rPr/>
      </w:pPr>
      <w:r w:rsidDel="00000000" w:rsidR="00000000" w:rsidRPr="00000000">
        <w:rPr>
          <w:rtl w:val="0"/>
        </w:rPr>
        <w:t xml:space="preserve">This ability to abstract diverse physical phenomena into a common functional model is what makes a unified measurement standard both possible and powerful. The proposed two-layer framework operationalizes this principle, providing a clear strategy for achieving both transparency and commercial interoperability.</w:t>
      </w:r>
    </w:p>
    <w:p w:rsidR="00000000" w:rsidDel="00000000" w:rsidP="00000000" w:rsidRDefault="00000000" w:rsidRPr="00000000" w14:paraId="0000000D">
      <w:pPr>
        <w:pStyle w:val="Heading4"/>
        <w:rPr/>
      </w:pPr>
      <w:bookmarkStart w:colFirst="0" w:colLast="0" w:name="_75c8lad3mvaw" w:id="4"/>
      <w:bookmarkEnd w:id="4"/>
      <w:r w:rsidDel="00000000" w:rsidR="00000000" w:rsidRPr="00000000">
        <w:rPr>
          <w:rtl w:val="0"/>
        </w:rPr>
        <w:t xml:space="preserve">3. The Two-Layer Standardization Framework: A Strategy for Innovation and Interoperability</w:t>
      </w:r>
    </w:p>
    <w:p w:rsidR="00000000" w:rsidDel="00000000" w:rsidP="00000000" w:rsidRDefault="00000000" w:rsidRPr="00000000" w14:paraId="0000000E">
      <w:pPr>
        <w:rPr/>
      </w:pPr>
      <w:r w:rsidDel="00000000" w:rsidR="00000000" w:rsidRPr="00000000">
        <w:rPr>
          <w:rtl w:val="0"/>
        </w:rPr>
        <w:t xml:space="preserve">The proposed two-layer framework is the primary vehicle for achieving the standard's goals. It is designed with a dual purpose: Layer 1 is a mandatory, descriptive standard that ensures transparency and protects innovation by standardizing how performance is reported, while Layer 2 consists of optional, prescriptive profiles that enable commercial interoperability and "plug-and-play" integration for vendors who choose to opt-in. This structure provides a clear on-ramp for emerging technologies while creating pathways for market maturity.</w:t>
      </w:r>
    </w:p>
    <w:p w:rsidR="00000000" w:rsidDel="00000000" w:rsidP="00000000" w:rsidRDefault="00000000" w:rsidRPr="00000000" w14:paraId="0000000F">
      <w:pPr>
        <w:pStyle w:val="Heading5"/>
        <w:rPr/>
      </w:pPr>
      <w:bookmarkStart w:colFirst="0" w:colLast="0" w:name="_eln8r997jv6a" w:id="5"/>
      <w:bookmarkEnd w:id="5"/>
      <w:r w:rsidDel="00000000" w:rsidR="00000000" w:rsidRPr="00000000">
        <w:rPr>
          <w:rtl w:val="0"/>
        </w:rPr>
        <w:t xml:space="preserve">3.1. Layer 1: The Capability Declaration Standard (Mandatory &amp; Descriptive)</w:t>
      </w:r>
    </w:p>
    <w:p w:rsidR="00000000" w:rsidDel="00000000" w:rsidP="00000000" w:rsidRDefault="00000000" w:rsidRPr="00000000" w14:paraId="00000010">
      <w:pPr>
        <w:rPr/>
      </w:pPr>
      <w:r w:rsidDel="00000000" w:rsidR="00000000" w:rsidRPr="00000000">
        <w:rPr>
          <w:rtl w:val="0"/>
        </w:rPr>
        <w:t xml:space="preserve">The purpose of the mandatory Layer 1 standard is to standardize the  </w:t>
      </w:r>
      <w:r w:rsidDel="00000000" w:rsidR="00000000" w:rsidRPr="00000000">
        <w:rPr>
          <w:i w:val="1"/>
          <w:iCs w:val="1"/>
          <w:rtl w:val="0"/>
        </w:rPr>
        <w:t xml:space="preserve">description</w:t>
      </w:r>
      <w:r w:rsidDel="00000000" w:rsidR="00000000" w:rsidRPr="00000000">
        <w:rPr>
          <w:rtl w:val="0"/>
        </w:rPr>
        <w:t xml:space="preserve">  of an analog AI component, not the component itself. It requires all compliant hardware manufacturers to provide a machine-readable "Capability Declaration" based on standardized test protocols. This ensures that performance claims are verifiable, comparable, and grounded in a common set of metrics, allowing system integrators to make informed decisions without stifling device-level innovation.The core deliverables of Layer 1 include:</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Analog AI Component Characterization Report:</w:t>
      </w:r>
      <w:r w:rsidDel="00000000" w:rsidR="00000000" w:rsidRPr="00000000">
        <w:rPr>
          <w:rtl w:val="0"/>
        </w:rPr>
        <w:t xml:space="preserve">  A normative template that requires manufacturers to disclose the precise conditions under which performance claims are valid. Key required sections include  </w:t>
      </w:r>
      <w:r w:rsidDel="00000000" w:rsidR="00000000" w:rsidRPr="00000000">
        <w:rPr>
          <w:b w:val="1"/>
          <w:bCs w:val="1"/>
          <w:rtl w:val="0"/>
        </w:rPr>
        <w:t xml:space="preserve">Measurement Conditions</w:t>
      </w:r>
      <w:r w:rsidDel="00000000" w:rsidR="00000000" w:rsidRPr="00000000">
        <w:rPr>
          <w:rtl w:val="0"/>
        </w:rPr>
        <w:t xml:space="preserve">  (e.g., temperature, voltage),  </w:t>
      </w:r>
      <w:r w:rsidDel="00000000" w:rsidR="00000000" w:rsidRPr="00000000">
        <w:rPr>
          <w:b w:val="1"/>
          <w:bCs w:val="1"/>
          <w:rtl w:val="0"/>
        </w:rPr>
        <w:t xml:space="preserve">Uncertainty Specs</w:t>
      </w:r>
      <w:r w:rsidDel="00000000" w:rsidR="00000000" w:rsidRPr="00000000">
        <w:rPr>
          <w:rtl w:val="0"/>
        </w:rPr>
        <w:t xml:space="preserve">  (instrumentation precision), and  </w:t>
      </w:r>
      <w:r w:rsidDel="00000000" w:rsidR="00000000" w:rsidRPr="00000000">
        <w:rPr>
          <w:b w:val="1"/>
          <w:bCs w:val="1"/>
          <w:rtl w:val="0"/>
        </w:rPr>
        <w:t xml:space="preserve">Population Sampling</w:t>
      </w:r>
      <w:r w:rsidDel="00000000" w:rsidR="00000000" w:rsidRPr="00000000">
        <w:rPr>
          <w:rtl w:val="0"/>
        </w:rPr>
        <w:t xml:space="preserve">  (sample size, selection method). This report transforms datasheets from marketing documents into rigorously defined scientific reports.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Standardized Data Envelope:</w:t>
      </w:r>
      <w:r w:rsidDel="00000000" w:rsidR="00000000" w:rsidRPr="00000000">
        <w:rPr>
          <w:rtl w:val="0"/>
        </w:rPr>
        <w:t xml:space="preserve">  A machine-readable data file that provides a statistical summary of a device's programmed state. This deliverable must include key metrics such as the  </w:t>
      </w:r>
      <w:r w:rsidDel="00000000" w:rsidR="00000000" w:rsidRPr="00000000">
        <w:rPr>
          <w:b w:val="1"/>
          <w:bCs w:val="1"/>
          <w:rtl w:val="0"/>
        </w:rPr>
        <w:t xml:space="preserve">Target Conductance (G_T)</w:t>
      </w:r>
      <w:r w:rsidDel="00000000" w:rsidR="00000000" w:rsidRPr="00000000">
        <w:rPr>
          <w:rtl w:val="0"/>
        </w:rPr>
        <w:t xml:space="preserve"> , which is the intended mean value; the  </w:t>
      </w:r>
      <w:r w:rsidDel="00000000" w:rsidR="00000000" w:rsidRPr="00000000">
        <w:rPr>
          <w:b w:val="1"/>
          <w:bCs w:val="1"/>
          <w:rtl w:val="0"/>
        </w:rPr>
        <w:t xml:space="preserve">State Variance (σ_G)</w:t>
      </w:r>
      <w:r w:rsidDel="00000000" w:rsidR="00000000" w:rsidRPr="00000000">
        <w:rPr>
          <w:rtl w:val="0"/>
        </w:rPr>
        <w:t xml:space="preserve"> , representing the standard deviation around the target; and the  </w:t>
      </w:r>
      <w:r w:rsidDel="00000000" w:rsidR="00000000" w:rsidRPr="00000000">
        <w:rPr>
          <w:b w:val="1"/>
          <w:bCs w:val="1"/>
          <w:rtl w:val="0"/>
        </w:rPr>
        <w:t xml:space="preserve">Confidence Interval</w:t>
      </w:r>
      <w:r w:rsidDel="00000000" w:rsidR="00000000" w:rsidRPr="00000000">
        <w:rPr>
          <w:rtl w:val="0"/>
        </w:rPr>
        <w:t xml:space="preserve"> , which specifies the probability of the actual state falling within defined bounds.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Conformance Levels:</w:t>
      </w:r>
      <w:r w:rsidDel="00000000" w:rsidR="00000000" w:rsidRPr="00000000">
        <w:rPr>
          <w:rtl w:val="0"/>
        </w:rPr>
        <w:t xml:space="preserve">  To create a clear pathway for adoption, conformance is defined by the completeness of reporting rather than by rigid device types. This allows technologies at different maturity levels to participate in the ecosystem.| Level | Requirements | Target Use Case || ------ | ------ | ------ || </w:t>
      </w:r>
      <w:r w:rsidDel="00000000" w:rsidR="00000000" w:rsidRPr="00000000">
        <w:rPr>
          <w:b w:val="1"/>
          <w:bCs w:val="1"/>
          <w:rtl w:val="0"/>
        </w:rPr>
        <w:t xml:space="preserve">Level 1</w:t>
      </w:r>
      <w:r w:rsidDel="00000000" w:rsidR="00000000" w:rsidRPr="00000000">
        <w:rPr>
          <w:rtl w:val="0"/>
        </w:rPr>
        <w:t xml:space="preserve"> | Basic data envelope and uncertainty metadata | Research prototypes, academic use || </w:t>
      </w:r>
      <w:r w:rsidDel="00000000" w:rsidR="00000000" w:rsidRPr="00000000">
        <w:rPr>
          <w:b w:val="1"/>
          <w:bCs w:val="1"/>
          <w:rtl w:val="0"/>
        </w:rPr>
        <w:t xml:space="preserve">Level 2</w:t>
      </w:r>
      <w:r w:rsidDel="00000000" w:rsidR="00000000" w:rsidRPr="00000000">
        <w:rPr>
          <w:rtl w:val="0"/>
        </w:rPr>
        <w:t xml:space="preserve"> | Adds statistical distributions and environmental sweeps | Commercial and consumer edge devices || </w:t>
      </w:r>
      <w:r w:rsidDel="00000000" w:rsidR="00000000" w:rsidRPr="00000000">
        <w:rPr>
          <w:b w:val="1"/>
          <w:bCs w:val="1"/>
          <w:rtl w:val="0"/>
        </w:rPr>
        <w:t xml:space="preserve">Level 3</w:t>
      </w:r>
      <w:r w:rsidDel="00000000" w:rsidR="00000000" w:rsidRPr="00000000">
        <w:rPr>
          <w:rtl w:val="0"/>
        </w:rPr>
        <w:t xml:space="preserve"> | Adds aging/cycling data and MTBF certification | Automotive, medical, and aerospace systems |</w:t>
      </w:r>
    </w:p>
    <w:p w:rsidR="00000000" w:rsidDel="00000000" w:rsidP="00000000" w:rsidRDefault="00000000" w:rsidRPr="00000000" w14:paraId="00000014">
      <w:pPr>
        <w:pStyle w:val="Heading5"/>
        <w:rPr/>
      </w:pPr>
      <w:bookmarkStart w:colFirst="0" w:colLast="0" w:name="_vobzuvnk6mm6" w:id="6"/>
      <w:bookmarkEnd w:id="6"/>
      <w:r w:rsidDel="00000000" w:rsidR="00000000" w:rsidRPr="00000000">
        <w:rPr>
          <w:rtl w:val="0"/>
        </w:rPr>
        <w:t xml:space="preserve">3.2. Layer 2: Interoperability Profiles (Optional &amp; Prescriptive)</w:t>
      </w:r>
    </w:p>
    <w:p w:rsidR="00000000" w:rsidDel="00000000" w:rsidP="00000000" w:rsidRDefault="00000000" w:rsidRPr="00000000" w14:paraId="00000015">
      <w:pPr>
        <w:rPr/>
      </w:pPr>
      <w:r w:rsidDel="00000000" w:rsidR="00000000" w:rsidRPr="00000000">
        <w:rPr>
          <w:rtl w:val="0"/>
        </w:rPr>
        <w:t xml:space="preserve">While Layer 1 ensures descriptive transparency, the optional Layer 2 profiles provide a pathway for achieving true "plug-and-play" integration within commercial ecosystems. By voluntarily adhering to these prescriptive standards, vendors can guarantee interoperability, enabling a multi-vendor supply chain for complex systems.The three primary components of Layer 2 are:</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Differential Signal Standard:</w:t>
      </w:r>
      <w:r w:rsidDel="00000000" w:rsidR="00000000" w:rsidRPr="00000000">
        <w:rPr>
          <w:rFonts w:ascii="Arial Unicode MS" w:cs="Arial Unicode MS" w:eastAsia="Arial Unicode MS" w:hAnsi="Arial Unicode MS"/>
          <w:rtl w:val="0"/>
        </w:rPr>
        <w:t xml:space="preserve">  To ensure robust signal integrity against noise, all devices seeking commercial interoperability certification must expose a differential interface, where a single weight is encoded as W = G⁺ − G⁻. The technical justification is the critical benefit of  </w:t>
      </w:r>
      <w:r w:rsidDel="00000000" w:rsidR="00000000" w:rsidRPr="00000000">
        <w:rPr>
          <w:b w:val="1"/>
          <w:bCs w:val="1"/>
          <w:rtl w:val="0"/>
        </w:rPr>
        <w:t xml:space="preserve">Common Mode Rejection (CMRR)</w:t>
      </w:r>
      <w:r w:rsidDel="00000000" w:rsidR="00000000" w:rsidRPr="00000000">
        <w:rPr>
          <w:rtl w:val="0"/>
        </w:rPr>
        <w:t xml:space="preserve"> , which allows the circuit to naturally cancel out common-mode noise sources like temperature fluctuations and power supply variations, dramatically improving the signal-to-noise ratio.</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Logical Interface Profile:</w:t>
      </w:r>
      <w:r w:rsidDel="00000000" w:rsidR="00000000" w:rsidRPr="00000000">
        <w:rPr>
          <w:rtl w:val="0"/>
        </w:rPr>
        <w:t xml:space="preserve">  To prevent software fragmentation, this profile defines an abstract command set that a host system can use to program and query any compliant analog core. Key commands include SET_Target, GET_Status, and CALIBRATE_Background. This high-level interface allows the device to manage its own internal complexities (like iterative write-verify loops) while presenting a simple, unified programming model to the software stack.</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Physical Interface Profile:</w:t>
      </w:r>
      <w:r w:rsidDel="00000000" w:rsidR="00000000" w:rsidRPr="00000000">
        <w:rPr>
          <w:rtl w:val="0"/>
        </w:rPr>
        <w:t xml:space="preserve">  To enable a robust chiplet ecosystem, this profile defines extensions to existing interconnect standards like the Universal Chiplet Interconnect Express (UCIe). These extensions will standardize protocols for connecting digital logic chiplets (e.g., on a 3nm process) with analog compute chiplets (e.g., on a 40nm process), including sideband channels for calibration and health data.This comprehensive technical framework provides the foundation for building a robust ecosystem, but its value is only fully realized when it connects to the stringent requirements of safety and regulatory compliance.</w:t>
      </w:r>
    </w:p>
    <w:p w:rsidR="00000000" w:rsidDel="00000000" w:rsidP="00000000" w:rsidRDefault="00000000" w:rsidRPr="00000000" w14:paraId="00000019">
      <w:pPr>
        <w:pStyle w:val="Heading4"/>
        <w:rPr/>
      </w:pPr>
      <w:bookmarkStart w:colFirst="0" w:colLast="0" w:name="_6x3gd3y0zyaj" w:id="7"/>
      <w:bookmarkEnd w:id="7"/>
      <w:r w:rsidDel="00000000" w:rsidR="00000000" w:rsidRPr="00000000">
        <w:rPr>
          <w:rtl w:val="0"/>
        </w:rPr>
        <w:t xml:space="preserve">4. Bridging Probabilistic Hardware and Deterministic Safety</w:t>
      </w:r>
    </w:p>
    <w:p w:rsidR="00000000" w:rsidDel="00000000" w:rsidP="00000000" w:rsidRDefault="00000000" w:rsidRPr="00000000" w14:paraId="0000001A">
      <w:pPr>
        <w:rPr/>
      </w:pPr>
      <w:r w:rsidDel="00000000" w:rsidR="00000000" w:rsidRPr="00000000">
        <w:rPr>
          <w:rtl w:val="0"/>
        </w:rPr>
        <w:t xml:space="preserve">A critical strategic challenge for the adoption of analog AI in high-stakes applications like automotive and aerospace is reconciling the inherently probabilistic nature of the hardware with the deterministic requirements of functional safety standards. Traditional failure models are inadequate for a technology where "error" is a continuous variable. The proposed standard addresses this by introducing a new safety and reliability model aligned with frameworks like ISO 26262 and the EU AI Act.The proposed  </w:t>
      </w:r>
      <w:r w:rsidDel="00000000" w:rsidR="00000000" w:rsidRPr="00000000">
        <w:rPr>
          <w:b w:val="1"/>
          <w:bCs w:val="1"/>
          <w:rtl w:val="0"/>
        </w:rPr>
        <w:t xml:space="preserve">Noise-Induced MTBF Safety Model</w:t>
      </w:r>
      <w:r w:rsidDel="00000000" w:rsidR="00000000" w:rsidRPr="00000000">
        <w:rPr>
          <w:rtl w:val="0"/>
        </w:rPr>
        <w:t xml:space="preserve">  redefines "failure" for analog systems. Instead of treating failure as a binary component fault (e.g., a stuck bit), the model defines failure at the system level: a statistically predictable drop in the AI model's inference accuracy below a mission-critical threshold, caused by the cumulative effect of underlying device noise. This statistical approach allows Mean Time Between Failure (MTBF) to be calculated based on the probability that accumulated device-level noise (drift, RTN, etc.) will cause a system-level performance degradation. This model provides a direct, verifiable link between the low-level device physics and the high-level safety requirements.Key principles of this safety model include: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Characterized Noise Tails:</w:t>
      </w:r>
      <w:r w:rsidDel="00000000" w:rsidR="00000000" w:rsidRPr="00000000">
        <w:rPr>
          <w:rtl w:val="0"/>
        </w:rPr>
        <w:t xml:space="preserve">  The model requires manufacturers to provide full statistical characterization of device noise out to 6-sigma or beyond. This allows for the accurate modeling of rare but potentially catastrophic events where multiple devices drift in a correlated, worst-case direction.</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The Detectability Principle:</w:t>
      </w:r>
      <w:r w:rsidDel="00000000" w:rsidR="00000000" w:rsidRPr="00000000">
        <w:rPr>
          <w:rtl w:val="0"/>
        </w:rPr>
        <w:t xml:space="preserve">  A probabilistic system can be considered safe if its potential failures are detectable within the specified Fault Tolerant Time Interval (FTTI). The standard provides a framework for defining diagnostic coverage and safety monitors that can detect an unacceptable drop in model accuracy and trigger a safe state.This novel approach transforms the challenge of probabilistic hardware from an insurmountable barrier into a manageable engineering problem, paving the way for certification. This moves the discussion from  </w:t>
      </w:r>
      <w:r w:rsidDel="00000000" w:rsidR="00000000" w:rsidRPr="00000000">
        <w:rPr>
          <w:i w:val="1"/>
          <w:iCs w:val="1"/>
          <w:rtl w:val="0"/>
        </w:rPr>
        <w:t xml:space="preserve">what</w:t>
      </w:r>
      <w:r w:rsidDel="00000000" w:rsidR="00000000" w:rsidRPr="00000000">
        <w:rPr>
          <w:rtl w:val="0"/>
        </w:rPr>
        <w:t xml:space="preserve">  the standard should contain to  </w:t>
      </w:r>
      <w:r w:rsidDel="00000000" w:rsidR="00000000" w:rsidRPr="00000000">
        <w:rPr>
          <w:i w:val="1"/>
          <w:iCs w:val="1"/>
          <w:rtl w:val="0"/>
        </w:rPr>
        <w:t xml:space="preserve">how</w:t>
      </w:r>
      <w:r w:rsidDel="00000000" w:rsidR="00000000" w:rsidRPr="00000000">
        <w:rPr>
          <w:rtl w:val="0"/>
        </w:rPr>
        <w:t xml:space="preserve">  it will be implemented and governed.</w:t>
      </w:r>
    </w:p>
    <w:p w:rsidR="00000000" w:rsidDel="00000000" w:rsidP="00000000" w:rsidRDefault="00000000" w:rsidRPr="00000000" w14:paraId="0000001D">
      <w:pPr>
        <w:pStyle w:val="Heading4"/>
        <w:rPr/>
      </w:pPr>
      <w:bookmarkStart w:colFirst="0" w:colLast="0" w:name="_7285vq46l4bn" w:id="8"/>
      <w:bookmarkEnd w:id="8"/>
      <w:r w:rsidDel="00000000" w:rsidR="00000000" w:rsidRPr="00000000">
        <w:rPr>
          <w:rtl w:val="0"/>
        </w:rPr>
        <w:t xml:space="preserve">5. The Path Forward: An Actionable Roadmap for Standardization</w:t>
      </w:r>
    </w:p>
    <w:p w:rsidR="00000000" w:rsidDel="00000000" w:rsidP="00000000" w:rsidRDefault="00000000" w:rsidRPr="00000000" w14:paraId="0000001E">
      <w:pPr>
        <w:rPr/>
      </w:pPr>
      <w:r w:rsidDel="00000000" w:rsidR="00000000" w:rsidRPr="00000000">
        <w:rPr>
          <w:rtl w:val="0"/>
        </w:rPr>
        <w:t xml:space="preserve">To execute this framework, we propose the formation of the  </w:t>
      </w:r>
      <w:r w:rsidDel="00000000" w:rsidR="00000000" w:rsidRPr="00000000">
        <w:rPr>
          <w:b w:val="1"/>
          <w:bCs w:val="1"/>
          <w:rtl w:val="0"/>
        </w:rPr>
        <w:t xml:space="preserve">Analog AI Standards Consortium (AASC)</w:t>
      </w:r>
      <w:r w:rsidDel="00000000" w:rsidR="00000000" w:rsidRPr="00000000">
        <w:rPr>
          <w:rtl w:val="0"/>
        </w:rPr>
        <w:t xml:space="preserve"> , a governance body with a clear structure and charter to develop, ratify, and maintain these standards in coordination with established bodies like IEEE and JEDEC.</w:t>
      </w:r>
    </w:p>
    <w:p w:rsidR="00000000" w:rsidDel="00000000" w:rsidP="00000000" w:rsidRDefault="00000000" w:rsidRPr="00000000" w14:paraId="0000001F">
      <w:pPr>
        <w:pStyle w:val="Heading5"/>
        <w:rPr/>
      </w:pPr>
      <w:bookmarkStart w:colFirst="0" w:colLast="0" w:name="_vcsbyqk3yxbo" w:id="9"/>
      <w:bookmarkEnd w:id="9"/>
      <w:r w:rsidDel="00000000" w:rsidR="00000000" w:rsidRPr="00000000">
        <w:rPr>
          <w:rtl w:val="0"/>
        </w:rPr>
        <w:t xml:space="preserve">Proposed Governance Structure</w:t>
      </w:r>
    </w:p>
    <w:p w:rsidR="00000000" w:rsidDel="00000000" w:rsidP="00000000" w:rsidRDefault="00000000" w:rsidRPr="00000000" w14:paraId="00000020">
      <w:pPr>
        <w:rPr/>
      </w:pPr>
      <w:r w:rsidDel="00000000" w:rsidR="00000000" w:rsidRPr="00000000">
        <w:rPr>
          <w:rtl w:val="0"/>
        </w:rPr>
        <w:t xml:space="preserve">Role,Responsibilities</w:t>
      </w:r>
    </w:p>
    <w:p w:rsidR="00000000" w:rsidDel="00000000" w:rsidP="00000000" w:rsidRDefault="00000000" w:rsidRPr="00000000" w14:paraId="00000021">
      <w:pPr>
        <w:rPr/>
      </w:pPr>
      <w:r w:rsidDel="00000000" w:rsidR="00000000" w:rsidRPr="00000000">
        <w:rPr>
          <w:rtl w:val="0"/>
        </w:rPr>
        <w:t xml:space="preserve">Steering Committee,"Sets strategic direction, liaises with standards bodies, allocates funding"</w:t>
      </w:r>
    </w:p>
    <w:p w:rsidR="00000000" w:rsidDel="00000000" w:rsidP="00000000" w:rsidRDefault="00000000" w:rsidRPr="00000000" w14:paraId="00000022">
      <w:pPr>
        <w:rPr/>
      </w:pPr>
      <w:r w:rsidDel="00000000" w:rsidR="00000000" w:rsidRPr="00000000">
        <w:rPr>
          <w:rtl w:val="0"/>
        </w:rPr>
        <w:t xml:space="preserve">Technical Board,"Coordinates work across subgroups, resolves technical conflicts, approves drafts"</w:t>
      </w:r>
    </w:p>
    <w:p w:rsidR="00000000" w:rsidDel="00000000" w:rsidP="00000000" w:rsidRDefault="00000000" w:rsidRPr="00000000" w14:paraId="00000023">
      <w:pPr>
        <w:rPr/>
      </w:pPr>
      <w:r w:rsidDel="00000000" w:rsidR="00000000" w:rsidRPr="00000000">
        <w:rPr>
          <w:rtl w:val="0"/>
        </w:rPr>
        <w:t xml:space="preserve">Working Subgroups,"Develop domain-specific specifications (e.g., metrology, datasheets)"</w:t>
      </w:r>
    </w:p>
    <w:p w:rsidR="00000000" w:rsidDel="00000000" w:rsidP="00000000" w:rsidRDefault="00000000" w:rsidRPr="00000000" w14:paraId="00000024">
      <w:pPr>
        <w:rPr/>
      </w:pPr>
      <w:r w:rsidDel="00000000" w:rsidR="00000000" w:rsidRPr="00000000">
        <w:rPr>
          <w:rtl w:val="0"/>
        </w:rPr>
        <w:t xml:space="preserve">The AASC will oversee a multi-phase implementation roadmap designed to deliver value incrementally while building consensus across the industry.</w:t>
      </w:r>
    </w:p>
    <w:p w:rsidR="00000000" w:rsidDel="00000000" w:rsidP="00000000" w:rsidRDefault="00000000" w:rsidRPr="00000000" w14:paraId="00000025">
      <w:pPr>
        <w:pStyle w:val="Heading5"/>
        <w:rPr/>
      </w:pPr>
      <w:bookmarkStart w:colFirst="0" w:colLast="0" w:name="_90ump5ykgvu3" w:id="10"/>
      <w:bookmarkEnd w:id="10"/>
      <w:r w:rsidDel="00000000" w:rsidR="00000000" w:rsidRPr="00000000">
        <w:rPr>
          <w:rtl w:val="0"/>
        </w:rPr>
        <w:t xml:space="preserve">Multi-Phase Implementation Roadmap</w:t>
      </w:r>
    </w:p>
    <w:p w:rsidR="00000000" w:rsidDel="00000000" w:rsidP="00000000" w:rsidRDefault="00000000" w:rsidRPr="00000000" w14:paraId="00000026">
      <w:pPr>
        <w:rPr/>
      </w:pPr>
      <w:r w:rsidDel="00000000" w:rsidR="00000000" w:rsidRPr="00000000">
        <w:rPr>
          <w:rtl w:val="0"/>
        </w:rPr>
        <w:t xml:space="preserve">Phase,Timeline,Key Deliverables</w:t>
      </w:r>
    </w:p>
    <w:p w:rsidR="00000000" w:rsidDel="00000000" w:rsidP="00000000" w:rsidRDefault="00000000" w:rsidRPr="00000000" w14:paraId="00000027">
      <w:pPr>
        <w:rPr/>
      </w:pPr>
      <w:r w:rsidDel="00000000" w:rsidR="00000000" w:rsidRPr="00000000">
        <w:rPr>
          <w:rtl w:val="0"/>
        </w:rPr>
        <w:t xml:space="preserve">Phase 1,Immediate - 12 months,"Capability Declaration Schema (JSON), Round-Robin Lab framework, Level 1 &amp; 2 Datasheet Templates"</w:t>
      </w:r>
    </w:p>
    <w:p w:rsidR="00000000" w:rsidDel="00000000" w:rsidP="00000000" w:rsidRDefault="00000000" w:rsidRPr="00000000" w14:paraId="00000028">
      <w:pPr>
        <w:rPr/>
      </w:pPr>
      <w:r w:rsidDel="00000000" w:rsidR="00000000" w:rsidRPr="00000000">
        <w:rPr>
          <w:rtl w:val="0"/>
        </w:rPr>
        <w:t xml:space="preserve">Phase 2,12 - 24 months,"Differential Interconnect Specification, Abstract Command Set, First Level 3 datasheets"</w:t>
      </w:r>
    </w:p>
    <w:p w:rsidR="00000000" w:rsidDel="00000000" w:rsidP="00000000" w:rsidRDefault="00000000" w:rsidRPr="00000000" w14:paraId="00000029">
      <w:pPr>
        <w:rPr/>
      </w:pPr>
      <w:r w:rsidDel="00000000" w:rsidR="00000000" w:rsidRPr="00000000">
        <w:rPr>
          <w:rtl w:val="0"/>
        </w:rPr>
        <w:t xml:space="preserve">Phase 3,24 - 36 months,"MTBF certification pathway, ISO 26262 / EU AI Act alignment, HAT framework API standard"</w:t>
      </w:r>
    </w:p>
    <w:p w:rsidR="00000000" w:rsidDel="00000000" w:rsidP="00000000" w:rsidRDefault="00000000" w:rsidRPr="00000000" w14:paraId="0000002A">
      <w:pPr>
        <w:rPr/>
      </w:pPr>
      <w:r w:rsidDel="00000000" w:rsidR="00000000" w:rsidRPr="00000000">
        <w:rPr>
          <w:rtl w:val="0"/>
        </w:rPr>
        <w:t xml:space="preserve">Phase 4,36+ months,"UCIe Analog Extension final, 3D architecture standards, Photonic/superconducting extensions"</w:t>
      </w:r>
    </w:p>
    <w:p w:rsidR="00000000" w:rsidDel="00000000" w:rsidP="00000000" w:rsidRDefault="00000000" w:rsidRPr="00000000" w14:paraId="0000002B">
      <w:pPr>
        <w:rPr/>
      </w:pPr>
      <w:r w:rsidDel="00000000" w:rsidR="00000000" w:rsidRPr="00000000">
        <w:rPr>
          <w:rtl w:val="0"/>
        </w:rPr>
        <w:t xml:space="preserve">This roadmap provides a clear, time-bound, and actionable strategy for moving from concept to implementation, ensuring that the standardization effort maintains momentum and delivers tangible results.</w:t>
      </w:r>
    </w:p>
    <w:p w:rsidR="00000000" w:rsidDel="00000000" w:rsidP="00000000" w:rsidRDefault="00000000" w:rsidRPr="00000000" w14:paraId="0000002C">
      <w:pPr>
        <w:pStyle w:val="Heading4"/>
        <w:rPr/>
      </w:pPr>
      <w:bookmarkStart w:colFirst="0" w:colLast="0" w:name="_x645gh6b45cb" w:id="11"/>
      <w:bookmarkEnd w:id="11"/>
      <w:r w:rsidDel="00000000" w:rsidR="00000000" w:rsidRPr="00000000">
        <w:rPr>
          <w:rtl w:val="0"/>
        </w:rPr>
        <w:t xml:space="preserve">6. Conclusion: From Fragmentation to a Unified Ecosystem</w:t>
      </w:r>
    </w:p>
    <w:p w:rsidR="00000000" w:rsidDel="00000000" w:rsidP="00000000" w:rsidRDefault="00000000" w:rsidRPr="00000000" w14:paraId="0000002D">
      <w:pPr>
        <w:rPr/>
      </w:pPr>
      <w:r w:rsidDel="00000000" w:rsidR="00000000" w:rsidRPr="00000000">
        <w:rPr>
          <w:rtl w:val="0"/>
        </w:rPr>
        <w:t xml:space="preserve">The analog AI industry is at a critical juncture. The promise of breaking through the memory wall and enabling a new generation of hyper-efficient AI is within reach, but this potential can only be realized through coordinated action. Unchecked, the current trajectory risks a future of fragmentation, where proprietary interfaces and unverifiable performance claims hinder progress and erode trust. This briefing outlines an emerging consensus to avert that outcome by adopting a foundational principle:  </w:t>
      </w:r>
      <w:r w:rsidDel="00000000" w:rsidR="00000000" w:rsidRPr="00000000">
        <w:rPr>
          <w:b w:val="1"/>
          <w:bCs w:val="1"/>
          <w:rtl w:val="0"/>
        </w:rPr>
        <w:t xml:space="preserve">standardize measurement and declaration, not implementation.</w:t>
      </w:r>
      <w:r w:rsidDel="00000000" w:rsidR="00000000" w:rsidRPr="00000000">
        <w:rPr>
          <w:rtl w:val="0"/>
        </w:rPr>
        <w:t xml:space="preserve">This principle is embodied in a practical, two-layer framework that preserves innovation at the device level while enabling commercial interoperability at the system level. Complemented by a novel MTBF safety model that bridges the gap between probabilistic hardware and deterministic regulation, this standard provides the key pillars for a future where analog AI is not only powerful but also reliable, interoperable, and certifiable. The proposed roadmap and governance structure transform this vision into an actionable plan. This effort is more than a technical document; it is the economic and engineering charter for the next decade of AI hardware. The future of energy-efficient AI computing depends on our collective ability to bring order to the analog domain, transforming the complexities of physics into the foundation of a unified and thriving ecosystem.</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