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Signal Standards Framework for Emerging Analog AI Computing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A Cross-Technology Synthesis for Industry Standardization</w:t>
      </w:r>
    </w:p>
    <w:p>
      <w:pPr>
        <w:spacing w:after="600"/>
        <w:jc w:val="center"/>
      </w:pPr>
      <w:r>
        <w:rPr>
          <w:color w:val="888888"/>
          <w:sz w:val="20"/>
          <w:szCs w:val="20"/>
        </w:rPr>
        <w:t xml:space="preserve">December 2025 | Working Draft v1.0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The semiconductor industry stands at a pivotal juncture, transitioning from the rigid determinism of von Neumann architectures to the probabilistic efficiency of Analog In-Memory Computing (AIMC). This paradigm shift, driven by the exponential growth of AI workloads and the fundamental limitations of the "memory wall," necessitates a comprehensive re-evaluation of the industrial framework governing computing hardware.</w:t>
      </w:r>
    </w:p>
    <w:p>
      <w:pPr>
        <w:spacing w:after="120"/>
      </w:pPr>
      <w:r>
        <w:t xml:space="preserve">This document synthesizes research across multiple analog memory technologies—including Resistive RAM (ReRAM), Phase-Change Memory (PCM), Ferroelectric FETs (FeFET), Flash/SONOS, and Magnetic Tunnel Junctions (MTJ)—to identify </w:t>
      </w:r>
    </w:p>
    <w:p>
      <w:pPr>
        <w:spacing w:after="120"/>
      </w:pPr>
      <w:r>
        <w:rPr>
          <w:b/>
          <w:bCs/>
        </w:rPr>
        <w:t xml:space="preserve">common ground for establishing signal standards</w:t>
      </w:r>
      <w:r>
        <w:t xml:space="preserve"> in the emerging analog behavior markets. The analysis draws from the International Roadmap for Devices and Systems (IRDS), NIST metrology initiatives, IEEE working groups, ISO/IEC standardization efforts, and cutting-edge industrial research.</w:t>
      </w:r>
    </w:p>
    <w:p>
      <w:pPr>
        <w:spacing w:after="200"/>
      </w:pPr>
      <w:r>
        <w:t xml:space="preserve">The central finding is that while the underlying physics of each technology differs substantially, they share fundamental challenges and requirements that provide a foundation for unified standardization: the encoding of neural weights as continuous physical properties, the management of inherent stochasticity, the need for drift compensation, and the requirement for interoperability with digital systems.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The Common Ground: Universal Principles Across Technologies</w:t>
      </w:r>
    </w:p>
    <w:p>
      <w:pPr>
        <w:pStyle w:val="Heading2"/>
      </w:pPr>
      <w:r>
        <w:t xml:space="preserve">1.1 The Fundamental Analog Computation Paradigm</w:t>
      </w:r>
    </w:p>
    <w:p>
      <w:pPr>
        <w:spacing w:after="120"/>
      </w:pPr>
      <w:r>
        <w:t xml:space="preserve">All analog AI technologies share a common computational paradigm that distinguishes them from digital systems. This paradigm is built on two fundamental physical laws: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Ohm's Law for Multiplication: </w:t>
      </w:r>
      <w:r>
        <w:t xml:space="preserve">I = V × G — The synaptic weight encoded as conductance (G) is multiplied by the input activation encoded as voltage (V) to produce a current (I)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Kirchhoff's Current Law for Accumulation: </w:t>
      </w:r>
      <w:r>
        <w:t xml:space="preserve">I_total = Σ(V_i × G_i) — Currents from multiple devices sum naturally on a shared bitline, performing the accumulation step of matrix-vector multiplication</w:t>
      </w:r>
    </w:p>
    <w:p>
      <w:pPr>
        <w:spacing w:after="200"/>
      </w:pPr>
      <w:r>
        <w:t xml:space="preserve">This physics-based computation enables massive parallelism—an entire matrix-vector multiplication in a single clock cycle—with potential energy efficiency improvements of 100× over digital accelerators.</w:t>
      </w:r>
    </w:p>
    <w:p>
      <w:pPr>
        <w:pStyle w:val="Heading2"/>
      </w:pPr>
      <w:r>
        <w:t xml:space="preserve">1.2 Universal State Variables and Encoding Mechanisms</w:t>
      </w:r>
    </w:p>
    <w:p>
      <w:pPr>
        <w:spacing w:after="120"/>
      </w:pPr>
      <w:r>
        <w:t xml:space="preserve">Despite their different underlying physics, all analog memory technologies encode weights as continuous physical state variables: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State Variable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Physical Mechanism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ReRAM/RRAM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Filament conductance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Oxygen vacancy migration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PCM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Crystalline-amorphous ratio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Chalcogenide phase transition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FeFET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Remnant polarization (P_r)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Ferroelectric domain switching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Flash/SONOS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Trapped charge (Q)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Fowler-Nordheim tunneling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MTJ/MRAM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Magnetization orientation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Spin-transfer/orbit torque</w:t>
            </w:r>
          </w:p>
        </w:tc>
      </w:tr>
    </w:tbl>
    <w:p>
      <w:pPr>
        <w:spacing w:before="200" w:after="200"/>
      </w:pPr>
      <w:r>
        <w:t xml:space="preserve">The critical insight is that regardless of the underlying mechanism, all technologies must address the same fundamental challenge: </w:t>
      </w:r>
    </w:p>
    <w:p>
      <w:pPr>
        <w:spacing w:after="200"/>
      </w:pPr>
      <w:r>
        <w:rPr>
          <w:i/>
          <w:iCs/>
        </w:rPr>
        <w:t xml:space="preserve">translating a continuous physical state into a usable analog weight value while managing noise, drift, and variability.</w:t>
      </w:r>
    </w:p>
    <w:p>
      <w:pPr>
        <w:pStyle w:val="Heading2"/>
      </w:pPr>
      <w:r>
        <w:t xml:space="preserve">1.3 Universal Challenges Requiring Standardization</w:t>
      </w:r>
    </w:p>
    <w:p>
      <w:pPr>
        <w:spacing w:after="120"/>
      </w:pPr>
      <w:r>
        <w:t xml:space="preserve">The research reveals five universal challenges that span all analog AI technologies and form the basis for signal standards: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Stochasticity: </w:t>
      </w:r>
      <w:r>
        <w:t xml:space="preserve">All technologies exhibit inherent randomness—from ion migration in ReRAM to nucleation in PCM to domain switching in FeFET. Standards must define acceptable statistical distributions.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Temporal Drift: </w:t>
      </w:r>
      <w:r>
        <w:t xml:space="preserve">Conductance states are not static. PCM exhibits power-law drift (G(t) = G₀(t/t₀)^−ν), while FeFET suffers from depolarization. Standards must specify drift budgets and compensation protocols.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Read/Write Asymmetry: </w:t>
      </w:r>
      <w:r>
        <w:t xml:space="preserve">SET and RESET operations differ in speed, energy, and precision across all technologies, complicating symmetric weight updates required for training.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Noise Floor: </w:t>
      </w:r>
      <w:r>
        <w:t xml:space="preserve">Random Telegraph Noise (RTN), thermal noise, and shot noise limit effective bit precision. Standards must define signal-to-noise ratio (SNR) requirements.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Digital Interface: </w:t>
      </w:r>
      <w:r>
        <w:t xml:space="preserve">All analog systems require conversion to/from digital domains. Standards must specify DAC/ADC precision, encoding schemes (PWM vs. PAM), and protocol interfaces.</w:t>
      </w:r>
    </w:p>
    <w:p>
      <w:r>
        <w:br w:type="page"/>
      </w:r>
    </w:p>
    <w:p>
      <w:pPr>
        <w:pStyle w:val="Heading1"/>
      </w:pPr>
      <w:r>
        <w:t xml:space="preserve">2. Proposed Signal Standards Framework</w:t>
      </w:r>
    </w:p>
    <w:p>
      <w:pPr>
        <w:pStyle w:val="Heading2"/>
      </w:pPr>
      <w:r>
        <w:t xml:space="preserve">2.1 Weight State Specification Standard</w:t>
      </w:r>
    </w:p>
    <w:p>
      <w:pPr>
        <w:spacing w:after="120"/>
      </w:pPr>
      <w:r>
        <w:t xml:space="preserve">The foundational standard must define how analog weight states are specified, measured, and communicated. Based on the synthesis of research, we propose the following framework:</w:t>
      </w:r>
    </w:p>
    <w:p>
      <w:pPr>
        <w:pStyle w:val="Heading3"/>
      </w:pPr>
      <w:r>
        <w:t xml:space="preserve">2.1.1 Conductance State Representation</w:t>
      </w:r>
    </w:p>
    <w:p>
      <w:pPr>
        <w:spacing w:after="120"/>
      </w:pPr>
      <w:r>
        <w:t xml:space="preserve">Standardize weight representation as normalized conductance: G_norm = (G − G_min) / (G_max − G_min), where G_min and G_max are technology-specific bounds.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Dynamic Range: </w:t>
      </w:r>
      <w:r>
        <w:t xml:space="preserve">Specify minimum on/off ratio requirements (e.g., &gt;10³ for inference, &gt;10⁴ for training)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Precision Tiers: </w:t>
      </w:r>
      <w:r>
        <w:t xml:space="preserve">Define "Inference Grade" (4-6 effective bits), "Edge Training Grade" (6-8 bits), and "Datacenter Grade" (8+ bits)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Signed Weight Encoding: </w:t>
      </w:r>
      <w:r>
        <w:t xml:space="preserve">Mandate differential encoding (W = G⁺ − G⁻) as the standard method for representing signed weights</w:t>
      </w:r>
    </w:p>
    <w:p>
      <w:pPr>
        <w:pStyle w:val="Heading3"/>
      </w:pPr>
      <w:r>
        <w:t xml:space="preserve">2.1.2 Statistical State Specification</w:t>
      </w:r>
    </w:p>
    <w:p>
      <w:pPr>
        <w:spacing w:after="120"/>
      </w:pPr>
      <w:r>
        <w:t xml:space="preserve">Move from deterministic to probabilistic specifications: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 Conductance (G_T): </w:t>
      </w:r>
      <w:r>
        <w:t xml:space="preserve">The intended weight value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 Variance (σ_G): </w:t>
      </w:r>
      <w:r>
        <w:t xml:space="preserve">The acceptable standard deviation around G_T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Confidence Interval: </w:t>
      </w:r>
      <w:r>
        <w:t xml:space="preserve">The probability that the actual conductance falls within the specified bounds (e.g., 99.7% within 3σ)</w:t>
      </w:r>
    </w:p>
    <w:p>
      <w:pPr>
        <w:pStyle w:val="Heading2"/>
      </w:pPr>
      <w:r>
        <w:t xml:space="preserve">2.2 Temporal Stability Standards</w:t>
      </w:r>
    </w:p>
    <w:p>
      <w:pPr>
        <w:spacing w:after="120"/>
      </w:pPr>
      <w:r>
        <w:t xml:space="preserve">The research unanimously identifies temporal drift as a critical challenge. A unified standard must address:</w:t>
      </w:r>
    </w:p>
    <w:p>
      <w:pPr>
        <w:pStyle w:val="Heading3"/>
      </w:pPr>
      <w:r>
        <w:t xml:space="preserve">2.2.1 Drift Characterization Protocol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Drift Coefficient (ν): </w:t>
      </w:r>
      <w:r>
        <w:t xml:space="preserve">Standardize measurement of the power-law drift exponent across temperature ranges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Drift Variance (σ_ν): </w:t>
      </w:r>
      <w:r>
        <w:t xml:space="preserve">Characterize device-to-device and state-to-state variation in drift behavior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Retention Classes: </w:t>
      </w:r>
      <w:r>
        <w:t xml:space="preserve">Define tiered retention requirements:</w:t>
      </w:r>
    </w:p>
    <w:p>
      <w:pPr>
        <w:pStyle w:val="ListParagraph"/>
        <w:numPr>
          <w:ilvl w:val="0"/>
          <w:numId w:val="4"/>
        </w:numPr>
      </w:pPr>
      <w:r>
        <w:t xml:space="preserve">Class A: &lt;1% conductance change over 1 year at 85°C (enterprise)</w:t>
      </w:r>
    </w:p>
    <w:p>
      <w:pPr>
        <w:pStyle w:val="ListParagraph"/>
        <w:numPr>
          <w:ilvl w:val="0"/>
          <w:numId w:val="4"/>
        </w:numPr>
      </w:pPr>
      <w:r>
        <w:t xml:space="preserve">Class B: &lt;5% change over 1 year at 85°C (consumer)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Class C: &lt;10% change over 1 month at 85°C (edge/IoT)</w:t>
      </w:r>
    </w:p>
    <w:p>
      <w:pPr>
        <w:pStyle w:val="Heading3"/>
      </w:pPr>
      <w:r>
        <w:t xml:space="preserve">2.2.2 Drift Compensation Interface</w:t>
      </w:r>
    </w:p>
    <w:p>
      <w:pPr>
        <w:spacing w:after="120"/>
      </w:pPr>
      <w:r>
        <w:t xml:space="preserve">Standardize the interface for drift compensation systems: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Reference Column Protocol: </w:t>
      </w:r>
      <w:r>
        <w:t xml:space="preserve">Define placement and calibration of fixed-reference conductance columns for global drift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Compensation Signal Format: </w:t>
      </w:r>
      <w:r>
        <w:t xml:space="preserve">Specify the digital interface for communicating drift corrections to ADC/gain stages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Recalibration Trigger: </w:t>
      </w:r>
      <w:r>
        <w:t xml:space="preserve">Define conditions that mandate weight refresh (e.g., accuracy degradation threshold)</w:t>
      </w:r>
    </w:p>
    <w:p>
      <w:pPr>
        <w:pStyle w:val="Heading2"/>
      </w:pPr>
      <w:r>
        <w:t xml:space="preserve">2.3 Input/Output Encoding Standards</w:t>
      </w:r>
    </w:p>
    <w:p>
      <w:pPr>
        <w:pStyle w:val="Heading3"/>
      </w:pPr>
      <w:r>
        <w:t xml:space="preserve">2.3.1 Input Activation Encoding</w:t>
      </w:r>
    </w:p>
    <w:p>
      <w:pPr>
        <w:spacing w:after="120"/>
      </w:pPr>
      <w:r>
        <w:t xml:space="preserve">Standardize two primary modulation schemes with defined trade-offs: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Scheme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Advantages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Standardization Focus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Pulse Amplitude (PAM)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Single-cycle operation; maximum throughput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DAC linearity; IR-drop compensation; voltage headroom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Pulse Width (PWM)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Inherent linearity; noise robustness; device-agnostic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Timing precision; integration window; bit-serial protocols</w:t>
            </w:r>
          </w:p>
        </w:tc>
      </w:tr>
    </w:tbl>
    <w:p>
      <w:pPr>
        <w:pStyle w:val="Heading3"/>
        <w:spacing w:before="200"/>
      </w:pPr>
      <w:r>
        <w:t xml:space="preserve">2.3.2 Output Sensing Standards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ADC Precision Requirements: </w:t>
      </w:r>
      <w:r>
        <w:t xml:space="preserve">Define minimum effective number of bits (ENOB) for different precision tiers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Sensing Mode: </w:t>
      </w:r>
      <w:r>
        <w:t xml:space="preserve">Standardize current-sensing vs. voltage-sensing architectures with defined conversion formulas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Integration Time: </w:t>
      </w:r>
      <w:r>
        <w:t xml:space="preserve">Specify relationship between integration window and noise floor for charge-domain computation</w:t>
      </w:r>
    </w:p>
    <w:p>
      <w:r>
        <w:br w:type="page"/>
      </w:r>
    </w:p>
    <w:p>
      <w:pPr>
        <w:pStyle w:val="Heading1"/>
      </w:pPr>
      <w:r>
        <w:t xml:space="preserve">3. Metrology Standards for Analog AI</w:t>
      </w:r>
    </w:p>
    <w:p>
      <w:pPr>
        <w:pStyle w:val="Heading2"/>
      </w:pPr>
      <w:r>
        <w:t xml:space="preserve">3.1 From Geometric to Functional Metrology</w:t>
      </w:r>
    </w:p>
    <w:p>
      <w:pPr>
        <w:spacing w:after="120"/>
      </w:pPr>
      <w:r>
        <w:t xml:space="preserve">The 2024 IRDS Metrology Chapter identifies a critical inflection point: for analog AI devices, the focus must expand from measuring </w:t>
      </w:r>
    </w:p>
    <w:p>
      <w:pPr>
        <w:spacing w:after="120"/>
      </w:pPr>
      <w:r>
        <w:rPr>
          <w:i/>
          <w:iCs/>
        </w:rPr>
        <w:t xml:space="preserve">structure</w:t>
      </w:r>
      <w:r>
        <w:t xml:space="preserve"> (critical dimensions, overlay) to measuring </w:t>
      </w:r>
      <w:r>
        <w:rPr>
          <w:i/>
          <w:iCs/>
        </w:rPr>
        <w:t xml:space="preserve">function</w:t>
      </w:r>
      <w:r>
        <w:t xml:space="preserve"> (conductance distributions, noise spectra, drift dynamics).</w:t>
      </w:r>
    </w:p>
    <w:p>
      <w:pPr>
        <w:pStyle w:val="Heading3"/>
      </w:pPr>
      <w:r>
        <w:t xml:space="preserve">3.1.1 Statistical Metrology Protocols</w:t>
      </w:r>
    </w:p>
    <w:p>
      <w:pPr>
        <w:spacing w:after="120"/>
      </w:pPr>
      <w:r>
        <w:t xml:space="preserve">Standardize measurement protocols that capture full statistical behavior: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Conductance PDF Measurement: </w:t>
      </w:r>
      <w:r>
        <w:t xml:space="preserve">Define sampling size, temperature conditions, and reporting format for conductance probability density functions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Noise Power Spectral Density: </w:t>
      </w:r>
      <w:r>
        <w:t xml:space="preserve">Standardize measurement bandwidth (e.g., 1Hz–1MHz) and integration time for RTN and 1/f noise characterization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Endurance Cycling: </w:t>
      </w:r>
      <w:r>
        <w:t xml:space="preserve">Define "Analog Endurance" as the number of cycles before σ_G exceeds specified threshold (distinct from binary Pass/Fail)</w:t>
      </w:r>
    </w:p>
    <w:p>
      <w:pPr>
        <w:pStyle w:val="Heading3"/>
      </w:pPr>
      <w:r>
        <w:t xml:space="preserve">3.1.2 NIST-Aligned Measurement Standards</w:t>
      </w:r>
    </w:p>
    <w:p>
      <w:pPr>
        <w:spacing w:after="120"/>
      </w:pPr>
      <w:r>
        <w:t xml:space="preserve">Align with NIST's neuromorphic device measurement program: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Synthetic Cortical Function Metrics: </w:t>
      </w:r>
      <w:r>
        <w:t xml:space="preserve">Develop chip-scale functional measurements analogous to fMRI—visualizing information flow across neuromorphic arrays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Attajoule-Scale Energy Measurement: </w:t>
      </w:r>
      <w:r>
        <w:t xml:space="preserve">Standardize protocols for measuring switching energies in the 1–100 aJ range required for superconducting and spintronic devices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Stochastic Verification: </w:t>
      </w:r>
      <w:r>
        <w:t xml:space="preserve">For probabilistic devices (e.g., superparamagnetic MTJs), verify that switching distributions match expected Boltzmann statistics</w:t>
      </w:r>
    </w:p>
    <w:p>
      <w:pPr>
        <w:pStyle w:val="Heading2"/>
      </w:pPr>
      <w:r>
        <w:t xml:space="preserve">3.2 Benchmarking Standards</w:t>
      </w:r>
    </w:p>
    <w:p>
      <w:pPr>
        <w:spacing w:after="120"/>
      </w:pPr>
      <w:r>
        <w:t xml:space="preserve">Current MLPerf benchmarks disadvantage analog AI by requiring strict accuracy thresholds. Adopt NeuroBench-style metrics: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Accuracy-per-Watt: </w:t>
      </w:r>
      <w:r>
        <w:t xml:space="preserve">Primary efficiency metric that captures the energy-accuracy trade-off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Synaptic Operations (SynOps): </w:t>
      </w:r>
      <w:r>
        <w:t xml:space="preserve">Event-based throughput metric for spiking neural networks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Footprint: </w:t>
      </w:r>
      <w:r>
        <w:t xml:space="preserve">Memory utilization metric that highlights sparse connectivity advantages</w:t>
      </w:r>
    </w:p>
    <w:p>
      <w:r>
        <w:br w:type="page"/>
      </w:r>
    </w:p>
    <w:p>
      <w:pPr>
        <w:pStyle w:val="Heading1"/>
      </w:pPr>
      <w:r>
        <w:t xml:space="preserve">4. Digital-Analog Interface Standards</w:t>
      </w:r>
    </w:p>
    <w:p>
      <w:pPr>
        <w:pStyle w:val="Heading2"/>
      </w:pPr>
      <w:r>
        <w:t xml:space="preserve">4.1 Chiplet Interconnect (UCIe Integration)</w:t>
      </w:r>
    </w:p>
    <w:p>
      <w:pPr>
        <w:spacing w:after="120"/>
      </w:pPr>
      <w:r>
        <w:t xml:space="preserve">Analog AI accelerators are increasingly deployed as chiplets alongside digital processors. Standardization must build upon Universal Chiplet Interconnect Express (UCIe):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Heterogeneous Node Support: </w:t>
      </w:r>
      <w:r>
        <w:t xml:space="preserve">Enable analog chiplets (fabricated on 40nm+ nodes optimized for NVM) to interface with leading-edge digital hosts (3nm)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Protocol Modes: </w:t>
      </w:r>
      <w:r>
        <w:t xml:space="preserve">Define CXL-compatible memory-mapped mode and streaming mode for neural network inference pipelines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Calibration Channel: </w:t>
      </w:r>
      <w:r>
        <w:t xml:space="preserve">Add standard sideband channel for drift compensation data and health monitoring</w:t>
      </w:r>
    </w:p>
    <w:p>
      <w:pPr>
        <w:pStyle w:val="Heading2"/>
      </w:pPr>
      <w:r>
        <w:t xml:space="preserve">4.2 Programming Interface Standards</w:t>
      </w:r>
    </w:p>
    <w:p>
      <w:pPr>
        <w:pStyle w:val="Heading3"/>
      </w:pPr>
      <w:r>
        <w:t xml:space="preserve">4.2.1 Weight Programming Command Set</w:t>
      </w:r>
    </w:p>
    <w:p>
      <w:pPr>
        <w:spacing w:after="120"/>
      </w:pPr>
      <w:r>
        <w:t xml:space="preserve">Define a standard command interface for analog weight programming (analogous to JEDEC's DDR command set):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SET_TARGET_G(address, G_target, tolerance): </w:t>
      </w:r>
      <w:r>
        <w:t xml:space="preserve">Initiate iterative programming to target conductance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VERIFY_LOOP(max_iterations, convergence_threshold): </w:t>
      </w:r>
      <w:r>
        <w:t xml:space="preserve">Configure write-verify parameters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READ_G_DISTRIBUTION(address_range): </w:t>
      </w:r>
      <w:r>
        <w:t xml:space="preserve">Return statistical characterization of programmed states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CALIBRATE_REFERENCE: </w:t>
      </w:r>
      <w:r>
        <w:t xml:space="preserve">Trigger reference column calibration sequence</w:t>
      </w:r>
    </w:p>
    <w:p>
      <w:pPr>
        <w:pStyle w:val="Heading3"/>
      </w:pPr>
      <w:r>
        <w:t xml:space="preserve">4.2.2 Hardware-Aware Training Interface</w:t>
      </w:r>
    </w:p>
    <w:p>
      <w:pPr>
        <w:spacing w:after="120"/>
      </w:pPr>
      <w:r>
        <w:t xml:space="preserve">Standardize the interface between training frameworks and hardware-aware training (HAT) tools: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Device Model Format: </w:t>
      </w:r>
      <w:r>
        <w:t xml:space="preserve">Define standard JSON/YAML schema for specifying noise, drift, and non-linearity parameters (building on IBM AIHWKit model)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Noise Injection Protocol: </w:t>
      </w:r>
      <w:r>
        <w:t xml:space="preserve">Specify how hardware noise characteristics are translated into training-time perturbations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Drift Simulation API: </w:t>
      </w:r>
      <w:r>
        <w:t xml:space="preserve">Define interface for simulating weight decay during training to ensure deployment robustness</w:t>
      </w:r>
    </w:p>
    <w:p>
      <w:r>
        <w:br w:type="page"/>
      </w:r>
    </w:p>
    <w:p>
      <w:pPr>
        <w:pStyle w:val="Heading1"/>
      </w:pPr>
      <w:r>
        <w:t xml:space="preserve">5. Safety and Regulatory Alignment</w:t>
      </w:r>
    </w:p>
    <w:p>
      <w:pPr>
        <w:pStyle w:val="Heading2"/>
      </w:pPr>
      <w:r>
        <w:t xml:space="preserve">5.1 EU AI Act Compliance Framework</w:t>
      </w:r>
    </w:p>
    <w:p>
      <w:pPr>
        <w:spacing w:after="120"/>
      </w:pPr>
      <w:r>
        <w:t xml:space="preserve">The EU AI Act (Article 15) mandates "accuracy, robustness, and cybersecurity" for high-risk AI systems. Standards must provide: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Robustness Certification: </w:t>
      </w:r>
      <w:r>
        <w:t xml:space="preserve">Define test protocols demonstrating consistent performance despite hardware stochasticity and drift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Technical Documentation Templates: </w:t>
      </w:r>
      <w:r>
        <w:t xml:space="preserve">Standardize documentation of drift rates, temperature dependencies, and noise floors as required by Article 11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HAT as Compliance Tool: </w:t>
      </w:r>
      <w:r>
        <w:t xml:space="preserve">Establish Hardware-Aware Training as a recognized method for demonstrating mathematical robustness</w:t>
      </w:r>
    </w:p>
    <w:p>
      <w:pPr>
        <w:pStyle w:val="Heading2"/>
      </w:pPr>
      <w:r>
        <w:t xml:space="preserve">5.2 ISO 26262 Functional Safety Integration</w:t>
      </w:r>
    </w:p>
    <w:p>
      <w:pPr>
        <w:spacing w:after="120"/>
      </w:pPr>
      <w:r>
        <w:t xml:space="preserve">For automotive deployment, standards must bridge the gap between ISO 26262's deterministic failure model and analog AI's probabilistic behavior: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Functional Degradation Metrics: </w:t>
      </w:r>
      <w:r>
        <w:t xml:space="preserve">Redefine "failure" as accuracy dropping below safety-goal threshold rather than binary device failure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ASIL Decomposition Templates: </w:t>
      </w:r>
      <w:r>
        <w:t xml:space="preserve">Provide reference architectures pairing analog inference (ASIL B/QM) with digital safety monitors (ASIL 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Safety Manual Requirements: </w:t>
      </w:r>
      <w:r>
        <w:t xml:space="preserve">Define mandatory documentation including Fault Tolerant Time Interval (FTTI) and recalibration frequency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FMEDA Data Standards: </w:t>
      </w:r>
      <w:r>
        <w:t xml:space="preserve">Establish FIT rate reporting format for analog memory devices comparable to IEC 62380 for digital components</w:t>
      </w:r>
    </w:p>
    <w:p>
      <w:pPr>
        <w:pStyle w:val="Heading2"/>
      </w:pPr>
      <w:r>
        <w:t xml:space="preserve">5.3 Security Standards</w:t>
      </w:r>
    </w:p>
    <w:p>
      <w:pPr>
        <w:spacing w:after="120"/>
      </w:pPr>
      <w:r>
        <w:t xml:space="preserve">Analog AI presents unique security challenges and opportunities:</w:t>
      </w:r>
    </w:p>
    <w:p>
      <w:pPr>
        <w:pStyle w:val="Heading3"/>
      </w:pPr>
      <w:r>
        <w:t xml:space="preserve">5.3.1 Model Protection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Side-Channel Mitigation: </w:t>
      </w:r>
      <w:r>
        <w:t xml:space="preserve">Define countermeasures against power analysis attacks (SPA/DPA) that exploit current-based computation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Weight Obfuscation: </w:t>
      </w:r>
      <w:r>
        <w:t xml:space="preserve">Standardize address scrambling and encryption protocols for protecting stored weights</w:t>
      </w:r>
    </w:p>
    <w:p>
      <w:pPr>
        <w:pStyle w:val="Heading3"/>
      </w:pPr>
      <w:r>
        <w:t xml:space="preserve">5.3.2 Physical Unclonable Functions (ISO/IEC 20897)</w:t>
      </w:r>
    </w:p>
    <w:p>
      <w:pPr>
        <w:spacing w:after="200"/>
      </w:pPr>
      <w:r>
        <w:t xml:space="preserve">Leverage inherent device variability for security: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PUF Quality Metrics: </w:t>
      </w:r>
      <w:r>
        <w:t xml:space="preserve">Align with ISO/IEC 20897 requirements for uniqueness, steadiness, and randomness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Entropy Source Validation: </w:t>
      </w:r>
      <w:r>
        <w:t xml:space="preserve">Comply with NIST SP 800-90B for analog noise-based true random number generators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Fuzzy Extractor Standards: </w:t>
      </w:r>
      <w:r>
        <w:t xml:space="preserve">Define error correction requirements for stabilizing noisy PUF responses into cryptographic keys</w:t>
      </w:r>
    </w:p>
    <w:p>
      <w:r>
        <w:br w:type="page"/>
      </w:r>
    </w:p>
    <w:p>
      <w:pPr>
        <w:pStyle w:val="Heading1"/>
      </w:pPr>
      <w:r>
        <w:t xml:space="preserve">6. Standardization Roadmap</w:t>
      </w:r>
    </w:p>
    <w:p>
      <w:pPr>
        <w:pStyle w:val="Heading2"/>
      </w:pPr>
      <w:r>
        <w:t xml:space="preserve">6.1 Standards Body Alignment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Body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JEDEC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Analog memory specifications: endurance, retention, interface commands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IEEE P2415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Energy-proportional hardware abstraction for analog accelerators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IEEE P2851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Functional safety data exchange for analog reliability modeling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ISO/IEC JTC1/SC42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AI system vocabulary and risk management for hardware implementations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  <w:color w:val="ED7D31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UCIe Consortium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Chiplet interface extensions for analog accelerators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D7D31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NeuroBench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Benchmarking metrics for neuromorphic and analog systems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  <w:color w:val="ED7D31"/>
              </w:rPr>
              <w:t xml:space="preserve">MEDIUM</w:t>
            </w:r>
          </w:p>
        </w:tc>
      </w:tr>
    </w:tbl>
    <w:p>
      <w:pPr>
        <w:pStyle w:val="Heading2"/>
        <w:spacing w:before="300"/>
      </w:pPr>
      <w:r>
        <w:t xml:space="preserve">6.2 Implementation Timeline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Phase 1 (2025-2026): Foundation — </w:t>
      </w:r>
      <w:r>
        <w:t xml:space="preserve">Establish conductance state specification and drift characterization protocols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Phase 2 (2026-2027): Interface — </w:t>
      </w:r>
      <w:r>
        <w:t xml:space="preserve">Define programming command sets and HAT integration interfaces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Phase 3 (2027-2028): Compliance — </w:t>
      </w:r>
      <w:r>
        <w:t xml:space="preserve">Align with EU AI Act and ISO 26262 requirements; establish certification pathways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Phase 4 (2028+): Ecosystem — </w:t>
      </w:r>
      <w:r>
        <w:t xml:space="preserve">Full NeuroBench integration; 3D architecture standards; photonic/superconducting extensions</w:t>
      </w:r>
    </w:p>
    <w:p>
      <w:r>
        <w:br w:type="page"/>
      </w:r>
    </w:p>
    <w:p>
      <w:pPr>
        <w:pStyle w:val="Heading1"/>
      </w:pPr>
      <w:r>
        <w:t xml:space="preserve">7. Conclusions and Recommendations</w:t>
      </w:r>
    </w:p>
    <w:p>
      <w:pPr>
        <w:spacing w:after="120"/>
      </w:pPr>
      <w:r>
        <w:t xml:space="preserve">The synthesis of research across analog AI technologies reveals that despite their divergent physics, these systems share fundamental challenges that provide a clear foundation for unified signal standards. The transition from deterministic digital computing to probabilistic analog computing requires a paradigm shift in how we specify, measure, and certify computing hardware.</w:t>
      </w:r>
    </w:p>
    <w:p>
      <w:pPr>
        <w:pStyle w:val="Heading2"/>
      </w:pPr>
      <w:r>
        <w:t xml:space="preserve">7.1 Key Recommendations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Adopt Statistical Specifications: </w:t>
      </w:r>
      <w:r>
        <w:t xml:space="preserve">Move from deterministic to probabilistic specifications. Define weights as distributions (G_T, σ_G) rather than point values.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Standardize Drift Management: </w:t>
      </w:r>
      <w:r>
        <w:t xml:space="preserve">Establish universal drift characterization protocols and retention classes applicable across PCM, ReRAM, FeFET, and emerging technologies.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Mandate Differential Encoding: </w:t>
      </w:r>
      <w:r>
        <w:t xml:space="preserve">Require G⁺/G⁻ differential pairs as the standard weight representation, providing signed weights and common-mode noise rejection.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Establish HAT as Compliance Tool: </w:t>
      </w:r>
      <w:r>
        <w:t xml:space="preserve">Position Hardware-Aware Training as the bridge between hardware stochasticity and regulatory requirements for accuracy and robustness.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Engage JEDEC for Analog Memory: </w:t>
      </w:r>
      <w:r>
        <w:t xml:space="preserve">Initiate development of JEDEC standards for "Analog Weight Storage" distinct from binary storage standards.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Adopt NeuroBench Metrics: </w:t>
      </w:r>
      <w:r>
        <w:t xml:space="preserve">Transition from MLPerf's binary accuracy thresholds to NeuroBench's energy-aware, event-based metrics for analog system evaluation.</w:t>
      </w:r>
    </w:p>
    <w:p>
      <w:pPr>
        <w:pStyle w:val="Heading2"/>
      </w:pPr>
      <w:r>
        <w:t xml:space="preserve">7.2 Call to Action</w:t>
      </w:r>
    </w:p>
    <w:p>
      <w:pPr>
        <w:spacing w:after="200"/>
      </w:pPr>
      <w:r>
        <w:t xml:space="preserve">The analog AI ecosystem is at a critical juncture. Without coordinated standardization, the industry risks fragmentation—proprietary interfaces, incompatible calibration protocols, and uncertain regulatory pathways. The common ground identified in this framework provides a foundation for industry-wide collaboration. We call upon semiconductor manufacturers, AI accelerator developers, standards bodies, and regulatory agencies to engage in the development of these essential standards.</w:t>
      </w:r>
    </w:p>
    <w:p>
      <w:pPr>
        <w:spacing w:after="120"/>
      </w:pPr>
      <w:r>
        <w:rPr>
          <w:i/>
          <w:iCs/>
        </w:rPr>
        <w:t xml:space="preserve">The future of energy-efficient AI computing depends on our ability to standardize the analog—transforming physics into reliable, interoperable, and certifiable intelligence.</w:t>
      </w:r>
    </w:p>
    <w:p>
      <w:r>
        <w:br w:type="page"/>
      </w:r>
    </w:p>
    <w:p>
      <w:pPr>
        <w:pStyle w:val="Heading1"/>
      </w:pPr>
      <w:r>
        <w:t xml:space="preserve">References</w:t>
      </w:r>
    </w:p>
    <w:p>
      <w:pPr>
        <w:spacing w:after="120"/>
      </w:pPr>
      <w:r>
        <w:rPr>
          <w:i/>
          <w:iCs/>
        </w:rPr>
        <w:t xml:space="preserve">This framework synthesizes research from the following source categories:</w:t>
      </w:r>
    </w:p>
    <w:p>
      <w:pPr>
        <w:pStyle w:val="ListParagraph"/>
        <w:numPr>
          <w:ilvl w:val="0"/>
          <w:numId w:val="2"/>
        </w:numPr>
      </w:pPr>
      <w:r>
        <w:t xml:space="preserve">International Roadmap for Devices and Systems (IRDS) 2024 Edition — Metrology and Advanced Memory Chapters</w:t>
      </w:r>
    </w:p>
    <w:p>
      <w:pPr>
        <w:pStyle w:val="ListParagraph"/>
        <w:numPr>
          <w:ilvl w:val="0"/>
          <w:numId w:val="2"/>
        </w:numPr>
      </w:pPr>
      <w:r>
        <w:t xml:space="preserve">NIST Neuromorphic Device Measurements and Physics for Intelligence Programs</w:t>
      </w:r>
    </w:p>
    <w:p>
      <w:pPr>
        <w:pStyle w:val="ListParagraph"/>
        <w:numPr>
          <w:ilvl w:val="0"/>
          <w:numId w:val="2"/>
        </w:numPr>
      </w:pPr>
      <w:r>
        <w:t xml:space="preserve">IEEE Working Groups: P2415 (Energy Proportional Systems) and P2851 (Functional Safety)</w:t>
      </w:r>
    </w:p>
    <w:p>
      <w:pPr>
        <w:pStyle w:val="ListParagraph"/>
        <w:numPr>
          <w:ilvl w:val="0"/>
          <w:numId w:val="2"/>
        </w:numPr>
      </w:pPr>
      <w:r>
        <w:t xml:space="preserve">ISO/IEC JTC 1/SC 42 AI Standards (22989, 42001, 23894)</w:t>
      </w:r>
    </w:p>
    <w:p>
      <w:pPr>
        <w:pStyle w:val="ListParagraph"/>
        <w:numPr>
          <w:ilvl w:val="0"/>
          <w:numId w:val="2"/>
        </w:numPr>
      </w:pPr>
      <w:r>
        <w:t xml:space="preserve">EU AI Act Technical Requirements (Articles 11, 15)</w:t>
      </w:r>
    </w:p>
    <w:p>
      <w:pPr>
        <w:pStyle w:val="ListParagraph"/>
        <w:numPr>
          <w:ilvl w:val="0"/>
          <w:numId w:val="2"/>
        </w:numPr>
      </w:pPr>
      <w:r>
        <w:t xml:space="preserve">ISO 26262 Functional Safety Standard</w:t>
      </w:r>
    </w:p>
    <w:p>
      <w:pPr>
        <w:pStyle w:val="ListParagraph"/>
        <w:numPr>
          <w:ilvl w:val="0"/>
          <w:numId w:val="2"/>
        </w:numPr>
      </w:pPr>
      <w:r>
        <w:t xml:space="preserve">IBM AIHWKit and Hardware-Aware Training Research</w:t>
      </w:r>
    </w:p>
    <w:p>
      <w:pPr>
        <w:pStyle w:val="ListParagraph"/>
        <w:numPr>
          <w:ilvl w:val="0"/>
          <w:numId w:val="2"/>
        </w:numPr>
      </w:pPr>
      <w:r>
        <w:t xml:space="preserve">NeuroBench Consortium Benchmarking Framework</w:t>
      </w:r>
    </w:p>
    <w:p>
      <w:pPr>
        <w:pStyle w:val="ListParagraph"/>
        <w:numPr>
          <w:ilvl w:val="0"/>
          <w:numId w:val="2"/>
        </w:numPr>
      </w:pPr>
      <w:r>
        <w:t xml:space="preserve">UCIe 2.0 Specification</w:t>
      </w:r>
    </w:p>
    <w:p>
      <w:pPr>
        <w:pStyle w:val="ListParagraph"/>
        <w:numPr>
          <w:ilvl w:val="0"/>
          <w:numId w:val="2"/>
        </w:numPr>
      </w:pPr>
      <w:r>
        <w:t xml:space="preserve">Industry research from IBM, Intel, Innatera, Mythic, SynSense, and academic publications on PCM, ReRAM, FeFET, MRAM, and photonic computing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Analog AI Signal Standards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2025-12-24T11:42:26.573Z</dcterms:created>
  <dcterms:modified xsi:type="dcterms:W3CDTF">2025-12-24T11:42:26.574Z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