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spacing w:before="0" w:after="240"/>
        <w:keepNext/>
        <w:jc w:val="center"/>
      </w:pPr>
      <w:r>
        <w:rPr>
          <w:rFonts w:ascii="Times New Roman" w:hAnsi="Times New Roman" w:eastAsia="宋体"/>
        </w:rPr>
        <w:t>Magazine 轮廓草稿（中文工作版）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摘要（约 150 词，待英文定稿）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联邦学习正从数据中心走向真实无线部署，但主流框架和实验设置通常把无线链路当作不可见、不可控的可靠管道，遮蔽了链路配置到文件交付和训练进度之间的关系。本文提出一种基于现成 802.11 硬件的跨层联邦学习 testbed，</w:t>
      </w:r>
      <w:r>
        <w:rPr>
          <w:rFonts w:ascii="Times New Roman" w:hAnsi="Times New Roman" w:eastAsia="宋体"/>
          <w:b/>
          <w:bCs/>
        </w:rPr>
        <w:t>把真实无线链路从 FL 抽象层下面拿出来，做成可控制、可测量、可重复的实验载体</w:t>
      </w:r>
      <w:r>
        <w:rPr>
          <w:rFonts w:ascii="Times New Roman" w:hAnsi="Times New Roman" w:eastAsia="宋体"/>
        </w:rPr>
        <w:t>。系统通过 802.11 monitor 模式与原始帧注入，直接构造、发送和观测空口帧，并控制实验所需的关键 PHY/MAC 参数。文章首先阐述 testbed 需求和载体选择，然后描述跨层架构与可编程空口、跨层契约与分层验证方法，最后展示正式实验证据——包括能力资格确认、MCS 重复实验和端到端 FL 轮次实验——并讨论实验洞察、证据边界和开放挑战。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待定稿细化</w:t>
      </w:r>
      <w:r>
        <w:rPr>
          <w:rFonts w:ascii="Times New Roman" w:hAnsi="Times New Roman" w:eastAsia="宋体"/>
        </w:rPr>
        <w:t>：摘要最终英文措辞、精确词数和三项贡献的目标/完成态表述。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1 节 Introduction（约 600 词）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联邦学习（Federated Learning, FL）使多个客户端在不共享原始数据的前提下协作训练共享模型。随着 FL 从数据中心延伸到移动和边缘设备，无线网络成为模型与训练更新的主要传输通道。然而，主流 FL 框架——无论是通用编排工具如 Flower </w:t>
      </w:r>
      <w:r>
        <w:rPr>
          <w:rFonts w:ascii="Consolas" w:hAnsi="Consolas" w:eastAsia="等线"/>
          <w:shd w:fill="F1F1F1"/>
          <w:color w:val="666666"/>
        </w:rPr>
        <w:t>[ref-FL基础1]</w:t>
      </w:r>
      <w:r>
        <w:rPr>
          <w:rFonts w:ascii="Times New Roman" w:hAnsi="Times New Roman" w:eastAsia="宋体"/>
        </w:rPr>
        <w:t xml:space="preserve">，还是规模化 benchmark 如 FedScale </w:t>
      </w:r>
      <w:r>
        <w:rPr>
          <w:rFonts w:ascii="Consolas" w:hAnsi="Consolas" w:eastAsia="等线"/>
          <w:shd w:fill="F1F1F1"/>
          <w:color w:val="666666"/>
        </w:rPr>
        <w:t>[ref-FL基础2]</w:t>
      </w:r>
      <w:r>
        <w:rPr>
          <w:rFonts w:ascii="Times New Roman" w:hAnsi="Times New Roman" w:eastAsia="宋体"/>
        </w:rPr>
        <w:t>——通常把无线链路抽象为透明管道：框架假定文件能够可靠送达，不暴露链路配置、不记录链路行为，也不让实验者控制传输条件对 FL 轮次的影响。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这种抽象在有线或高速无线环境中或许足够，但在真实无线部署中，它隐藏了一层重要的实验变量。信道、调制编码方案（MCS）、带宽和发送参数的不同会导致链路吞吐、丢帧和延迟的差异；这些差异经由文件交付和轮次时序传播到训练进度。当无线链路被当作黑盒时，研究者无法区分观察到的 FL 行为究竟源自算法设计还是底层无线条件。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本文把真实无线链路从 FL 抽象层下面拿出来，做成可控制、可测量、可重复的实验载体。</w:t>
      </w:r>
      <w:r>
        <w:rPr>
          <w:rFonts w:ascii="Times New Roman" w:hAnsi="Times New Roman" w:eastAsia="宋体"/>
        </w:rPr>
        <w:t xml:space="preserve"> 系统通过 802.11 monitor 模式与原始帧注入，直接构造、发送和观测空口帧，并控制实验所需的关键 PHY/MAC 参数——这里的"空口"指数据实际通过无线电收发的环节，包括相关的物理层和介质接入层行为。在这一基础上，系统进一步把空口配置、链路观测、文件交付与 FL 轮次结果组织为五层跨层 testbed，使无线条件不再是实验的噪声来源，而是显式的实验变量。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本文的贡献如下：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1. </w:t>
      </w:r>
      <w:r>
        <w:rPr>
          <w:rFonts w:ascii="Times New Roman" w:hAnsi="Times New Roman" w:eastAsia="宋体"/>
          <w:b/>
          <w:bCs/>
        </w:rPr>
        <w:t>可编程真实广播无线链路</w:t>
      </w:r>
      <w:r>
        <w:rPr>
          <w:rFonts w:ascii="Times New Roman" w:hAnsi="Times New Roman" w:eastAsia="宋体"/>
        </w:rPr>
        <w:t>。基于现成 802.11 硬件，在网卡、驱动和监管域允许的范围内，把实验所需的关键 PHY/MAC 行为暴露为可配置、可测量的条件。这些能力将通过正式能力结果矩阵（T1）和 MCS 重复实验（F4）验证。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2. </w:t>
      </w:r>
      <w:r>
        <w:rPr>
          <w:rFonts w:ascii="Times New Roman" w:hAnsi="Times New Roman" w:eastAsia="宋体"/>
          <w:b/>
          <w:bCs/>
        </w:rPr>
        <w:t>跨层 testbed 与验证方法</w:t>
      </w:r>
      <w:r>
        <w:rPr>
          <w:rFonts w:ascii="Times New Roman" w:hAnsi="Times New Roman" w:eastAsia="宋体"/>
        </w:rPr>
        <w:t>。把 FL 文件交换、链路调度、真实无线链路和观测面组织成可核查的跨层实验边界，并定义交付、完整性、收齐和完成等跨层契约及其分层验证方法。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3. </w:t>
      </w:r>
      <w:r>
        <w:rPr>
          <w:rFonts w:ascii="Times New Roman" w:hAnsi="Times New Roman" w:eastAsia="宋体"/>
          <w:b/>
          <w:bCs/>
        </w:rPr>
        <w:t>代表性实验洞察</w:t>
      </w:r>
      <w:r>
        <w:rPr>
          <w:rFonts w:ascii="Times New Roman" w:hAnsi="Times New Roman" w:eastAsia="宋体"/>
        </w:rPr>
        <w:t>。用 MCS 重复实验和端到端 FL 轮次实验回答链路差异如何形成、如何沿"链路行为 → 文件交付 → 轮次完成 → 学习进度"传播。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证据门槛说明</w:t>
      </w:r>
      <w:r>
        <w:rPr>
          <w:rFonts w:ascii="Times New Roman" w:hAnsi="Times New Roman" w:eastAsia="宋体"/>
        </w:rPr>
        <w:t xml:space="preserve">：上述三项贡献在蓝图阶段以目标主张写成；只有在正式实验数据齐备后，投稿版才改为完成态句式。贡献 3 完全依赖正式实验 F4/F5 数据；贡献 1 中发射功率行是投稿前置依赖，需在系统侧先补 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旋钮实现和正式资格数据。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如果无线链路要成为实验变量，研究载体必须满足哪些可验证条件？下一节从这一问题出发，推导 testbed 需求并定位本文方案。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2 节 Testbed Requirements and the Research Landscape（约 800 词）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要把无线链路从 FL 的透明管道变为可实验的对象，研究载体至少须同时满足三项需求：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1. </w:t>
      </w:r>
      <w:r>
        <w:rPr>
          <w:rFonts w:ascii="Times New Roman" w:hAnsi="Times New Roman" w:eastAsia="宋体"/>
          <w:b/>
          <w:bCs/>
        </w:rPr>
        <w:t>真实链路参与实验</w:t>
      </w:r>
      <w:r>
        <w:rPr>
          <w:rFonts w:ascii="Times New Roman" w:hAnsi="Times New Roman" w:eastAsia="宋体"/>
        </w:rPr>
        <w:t>。研究载体必须使用真实的无线收发，而非模拟或回放；否则无线行为本身不是实验变量。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2. </w:t>
      </w:r>
      <w:r>
        <w:rPr>
          <w:rFonts w:ascii="Times New Roman" w:hAnsi="Times New Roman" w:eastAsia="宋体"/>
          <w:b/>
          <w:bCs/>
        </w:rPr>
        <w:t>关键行为可控制、可测量</w:t>
      </w:r>
      <w:r>
        <w:rPr>
          <w:rFonts w:ascii="Times New Roman" w:hAnsi="Times New Roman" w:eastAsia="宋体"/>
        </w:rPr>
        <w:t>。实验者必须能够显式设定链路配置（如 MCS、带宽、信道），并通过接收侧观测确认配置是否生效；否则无线链路仍是不可控的噪声源。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3. </w:t>
      </w:r>
      <w:r>
        <w:rPr>
          <w:rFonts w:ascii="Times New Roman" w:hAnsi="Times New Roman" w:eastAsia="宋体"/>
          <w:b/>
          <w:bCs/>
        </w:rPr>
        <w:t>普通研究组可重复部署和复现实验</w:t>
      </w:r>
      <w:r>
        <w:rPr>
          <w:rFonts w:ascii="Times New Roman" w:hAnsi="Times New Roman" w:eastAsia="宋体"/>
        </w:rPr>
        <w:t>。硬件、频段和协议栈的门槛不能高到只有少数实验室能够复现；否则实验结果难以被独立验证。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以下按这三项需求审视现有研究载体，并说明每种载体的事实来源。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仿真与 trace 回放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网络仿真器和 trace 回放工具在 FL 无线通信研究中被广泛使用 </w:t>
      </w:r>
      <w:r>
        <w:rPr>
          <w:rFonts w:ascii="Consolas" w:hAnsi="Consolas" w:eastAsia="等线"/>
          <w:shd w:fill="F1F1F1"/>
          <w:color w:val="666666"/>
        </w:rPr>
        <w:t>[ref-载体1]</w:t>
      </w:r>
      <w:r>
        <w:rPr>
          <w:rFonts w:ascii="Times New Roman" w:hAnsi="Times New Roman" w:eastAsia="宋体"/>
        </w:rPr>
        <w:t>。它们提供良好的可重复性和可扩展性，可以方便地批量运行不同网络条件下的实验。然而，仿真和 trace 回放不把真实无线行为作为实验对象——它们生成或重放已有的链路特征，而非让数据实际经过无线电收发。当研究问题涉及真实硬件、驱动和射频环境的交互行为时，仿真结果不能替代真实链路实验。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Amadeo 等人在 </w:t>
      </w:r>
      <w:r>
        <w:rPr>
          <w:rFonts w:ascii="Times New Roman" w:hAnsi="Times New Roman" w:eastAsia="宋体"/>
          <w:i/>
        </w:rPr>
        <w:t>IEEE Communications Magazine</w:t>
      </w:r>
      <w:r>
        <w:rPr>
          <w:rFonts w:ascii="Times New Roman" w:hAnsi="Times New Roman" w:eastAsia="宋体"/>
        </w:rPr>
        <w:t> 发表的研究通过数值和网络仿真评估联邦学习通信 straggler 的缓解方法 </w:t>
      </w:r>
      <w:r>
        <w:rPr>
          <w:rFonts w:ascii="Consolas" w:hAnsi="Consolas" w:eastAsia="等线"/>
          <w:shd w:fill="F1F1F1"/>
          <w:color w:val="666666"/>
        </w:rPr>
        <w:t>[Amadeo2024]</w:t>
      </w:r>
      <w:r>
        <w:rPr>
          <w:rFonts w:ascii="Times New Roman" w:hAnsi="Times New Roman" w:eastAsia="宋体"/>
        </w:rPr>
        <w:t>，为这一类载体提供了近年的 Magazine 研究实例。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常规协议栈下的异构无线与边缘 testbed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使用常规 Wi-Fi 联网的 FL 部署让数据经过真实无线链路 </w:t>
      </w:r>
      <w:r>
        <w:rPr>
          <w:rFonts w:ascii="Consolas" w:hAnsi="Consolas" w:eastAsia="等线"/>
          <w:shd w:fill="F1F1F1"/>
          <w:color w:val="666666"/>
        </w:rPr>
        <w:t>[ref-载体2]</w:t>
      </w:r>
      <w:r>
        <w:rPr>
          <w:rFonts w:ascii="Times New Roman" w:hAnsi="Times New Roman" w:eastAsia="宋体"/>
        </w:rPr>
        <w:t xml:space="preserve">，满足第一项需求。然而，在常规联网方式下，帧的构造、发送和接收由网卡固件、驱动和协议栈协同处理——包括速率自适应、重传、功率控制等 PHY/MAC 行为。实验者通常难以将这些行为作为显式实验变量：例如，难以固定 MCS 并观测其对链路吞吐的影响，或在不同配置之间进行可控切换。此外，广播和组播数据通常沿默认基本速率路径发送 </w:t>
      </w:r>
      <w:r>
        <w:rPr>
          <w:rFonts w:ascii="Consolas" w:hAnsi="Consolas" w:eastAsia="等线"/>
          <w:shd w:fill="F1F1F1"/>
          <w:color w:val="666666"/>
        </w:rPr>
        <w:t>[ref-载体3]</w:t>
      </w:r>
      <w:r>
        <w:rPr>
          <w:rFonts w:ascii="Times New Roman" w:hAnsi="Times New Roman" w:eastAsia="宋体"/>
        </w:rPr>
        <w:t>，进一步限制了可控参数的范围。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Liu 等人在真实 5G-edge IoT testbed 上部署了基于联邦学习的异常检测系统，并测量了包括 Wi-Fi、BLE、Zigbee、6LoWPAN、LoRaWAN、Sigfox 和 NB-IoT 在内的多种无线接入技术 [ref-载体2]。该平台让 FL 数据和模型更新经过真实网络设备，能够评估端到端时延、计算开销和系统扩展性。然而，这些无线接口仍沿常规联网路径工作；论文没有将逐帧 MCS、信道带宽、GI、链路层重传策略或接收侧 PHY 元数据暴露为可控制、可验证的实验变量。因此，该平台具有真实的端到端无线和边缘网络行为，但具体的 PHY/MAC 行为仍主要封装在无线设备、驱动和协议栈内部。</w:t>
      </w:r>
      <w:r>
        <w:rPr>
          <w:rFonts w:ascii="Times New Roman" w:hAnsi="Times New Roman" w:eastAsia="宋体"/>
          <w:i/>
        </w:rPr>
      </w:r>
      <w:r>
        <w:rPr>
          <w:rFonts w:ascii="Times New Roman" w:hAnsi="Times New Roman" w:eastAsia="宋体"/>
        </w:rPr>
      </w:r>
      <w:r>
        <w:rPr>
          <w:rFonts w:ascii="Consolas" w:hAnsi="Consolas" w:eastAsia="等线"/>
          <w:shd w:fill="F1F1F1"/>
          <w:color w:val="666666"/>
        </w:rPr>
      </w:r>
      <w:r>
        <w:rPr>
          <w:rFonts w:ascii="Times New Roman" w:hAnsi="Times New Roman" w:eastAsia="宋体"/>
        </w:rPr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注意</w:t>
      </w:r>
      <w:r>
        <w:rPr>
          <w:rFonts w:ascii="Times New Roman" w:hAnsi="Times New Roman" w:eastAsia="宋体"/>
        </w:rPr>
        <w:t>：此处不写成"FL 一对多必然退化为一对一"等过强概括（参见 05-3 裁决）。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SDR 和蜂窝 testbed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软件定义无线电（SDR）和蜂窝 testbed（如 5G/LTE 实验平台）提供比 Wi-Fi 更细粒度的物理层控制 </w:t>
      </w:r>
      <w:r>
        <w:rPr>
          <w:rFonts w:ascii="Consolas" w:hAnsi="Consolas" w:eastAsia="等线"/>
          <w:shd w:fill="F1F1F1"/>
          <w:color w:val="666666"/>
        </w:rPr>
        <w:t>[ref-载体4]</w:t>
      </w:r>
      <w:r>
        <w:rPr>
          <w:rFonts w:ascii="Times New Roman" w:hAnsi="Times New Roman" w:eastAsia="宋体"/>
        </w:rPr>
        <w:t>，在频段、波形和调制方面的可编程性更强。然而，SDR 需要专用硬件（如 USRP）和复杂的信号处理协议栈，蜂窝 testbed 可能还需要频谱许可和基站设备。这些因素显著提高了部署和复现的门槛，使实验难以被普通研究组独立复制。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Chu 等人在 </w:t>
      </w:r>
      <w:r>
        <w:rPr>
          <w:rFonts w:ascii="Times New Roman" w:hAnsi="Times New Roman" w:eastAsia="宋体"/>
          <w:i/>
        </w:rPr>
        <w:t>IEEE Communications Magazine</w:t>
      </w:r>
      <w:r>
        <w:rPr>
          <w:rFonts w:ascii="Times New Roman" w:hAnsi="Times New Roman" w:eastAsia="宋体"/>
        </w:rPr>
        <w:t> 发表的 O-RAN cell-free MIMO 研究实现了真实 5G testbed </w:t>
      </w:r>
      <w:r>
        <w:rPr>
          <w:rFonts w:ascii="Consolas" w:hAnsi="Consolas" w:eastAsia="等线"/>
          <w:shd w:fill="F1F1F1"/>
          <w:color w:val="666666"/>
        </w:rPr>
        <w:t>[Chu2025]</w:t>
      </w:r>
      <w:r>
        <w:rPr>
          <w:rFonts w:ascii="Times New Roman" w:hAnsi="Times New Roman" w:eastAsia="宋体"/>
        </w:rPr>
        <w:t>。系统使用四台 NI USRP X310、Octoclock 同步、专用服务器、修改后的 srsRAN、Open5GS 和 near-real-time RIC，并在 n78/3.6 GHz、20 MHz 配置下记录 SNR、RSRP、噪声方差、EPRE、MCS 和吞吐量等 KPI。该研究为 SDR/蜂窝载体提供了近年的 Magazine 实例，同时也体现了专用设备和协议栈带来的复现门槛。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三篇真实 IEEE Magazine 研究的载体对比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下表只列出三篇研究的书目信息，分别锚定仿真、常规协议栈下的异构无线与边缘 testbed、SDR/蜂窝三类研究载体。</w:t>
      </w:r>
    </w:p>
    <w:tbl>
      <w:tblPr>
        <w:tblW w:w="9026" w:type="dxa"/>
        <w:tblLayout w:type="fixed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研究载体</w:t>
            </w:r>
          </w:p>
        </w:tc>
        <w:tc>
          <w:tcPr>
            <w:tcW w:w="3008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作者与标题</w:t>
            </w:r>
          </w:p>
        </w:tc>
        <w:tc>
          <w:tcPr>
            <w:tcW w:w="3010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年份、刊物与来源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仿真/trace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M. Amadeo </w:t>
            </w:r>
            <w:r>
              <w:rPr>
                <w:rFonts w:ascii="Times New Roman" w:hAnsi="Times New Roman" w:eastAsia="宋体"/>
                <w:sz w:val="20"/>
                <w:szCs w:val="20"/>
                <w:i/>
              </w:rPr>
              <w:t>et al.</w:t>
            </w:r>
            <w:r>
              <w:rPr>
                <w:rFonts w:ascii="Times New Roman" w:hAnsi="Times New Roman" w:eastAsia="宋体"/>
                <w:sz w:val="20"/>
                <w:szCs w:val="20"/>
              </w:rPr>
              <w:t>, “Mitigating the Communication Straggler Effect in Federated Learning via Named Data Networking”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2024，</w:t>
            </w:r>
            <w:r>
              <w:rPr>
                <w:rFonts w:ascii="Times New Roman" w:hAnsi="Times New Roman" w:eastAsia="宋体"/>
                <w:sz w:val="20"/>
                <w:szCs w:val="20"/>
                <w:i/>
              </w:rPr>
              <w:t>IEEE Communications Magazine</w:t>
            </w:r>
            <w:r>
              <w:rPr>
                <w:rFonts w:ascii="Times New Roman" w:hAnsi="Times New Roman" w:eastAsia="宋体"/>
                <w:sz w:val="20"/>
                <w:szCs w:val="20"/>
              </w:rPr>
              <w:t>, vol. 62, no. 11, pp. 92–98；doi: 10.1109/MCOM.001.2300419；IEEE Xplore: https://ieeexplore.ieee.org/document/10529949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异构无线/边缘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X. Liu et al., “Federated Learning on 5G Edge for Industrial Internet of Things”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2025，IEEE Network, vol. 39, no. 1, pp. 289–297；doi: 10.1109/MNET.2024.3469988；IEEE Xplore: https://ieeexplore.ieee.org/document/10705021；开放全文: https://researchportal.helsinki.fi/files/393315831/Federated.pdf</w:t>
            </w:r>
            <w:r>
              <w:rPr>
                <w:rFonts w:ascii="Times New Roman" w:hAnsi="Times New Roman" w:eastAsia="宋体"/>
                <w:sz w:val="20"/>
                <w:szCs w:val="20"/>
                <w:i/>
              </w:rPr>
            </w:r>
            <w:r>
              <w:rPr>
                <w:rFonts w:ascii="Times New Roman" w:hAnsi="Times New Roman" w:eastAsia="宋体"/>
                <w:sz w:val="20"/>
                <w:szCs w:val="20"/>
              </w:rPr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SDR/蜂窝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Y. Chu </w:t>
            </w:r>
            <w:r>
              <w:rPr>
                <w:rFonts w:ascii="Times New Roman" w:hAnsi="Times New Roman" w:eastAsia="宋体"/>
                <w:sz w:val="20"/>
                <w:szCs w:val="20"/>
                <w:i/>
              </w:rPr>
              <w:t>et al.</w:t>
            </w:r>
            <w:r>
              <w:rPr>
                <w:rFonts w:ascii="Times New Roman" w:hAnsi="Times New Roman" w:eastAsia="宋体"/>
                <w:sz w:val="20"/>
                <w:szCs w:val="20"/>
              </w:rPr>
              <w:t>, “Testbed Development: An Intelligent O-RAN-Based Cell-Free MIMO Network”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2025，</w:t>
            </w:r>
            <w:r>
              <w:rPr>
                <w:rFonts w:ascii="Times New Roman" w:hAnsi="Times New Roman" w:eastAsia="宋体"/>
                <w:sz w:val="20"/>
                <w:szCs w:val="20"/>
                <w:i/>
              </w:rPr>
              <w:t>IEEE Communications Magazine</w:t>
            </w:r>
            <w:r>
              <w:rPr>
                <w:rFonts w:ascii="Times New Roman" w:hAnsi="Times New Roman" w:eastAsia="宋体"/>
                <w:sz w:val="20"/>
                <w:szCs w:val="20"/>
              </w:rPr>
              <w:t>, vol. 63, no. 6, pp. 74–81；doi: 10.1109/MCOM.001.2400574；IEEE Xplore: https://ieeexplore.ieee.org/document/11018310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三篇文章共同显示出三种取舍：Amadeo 等人牺牲真实 RF 以换取规模和重复性；Liu 等人在真实 5G-edge 和异构无线接入上验证 FL 系统，但把具体 PHY/MAC 行为封装在常规协议栈内；Chu 等人暴露 更细粒度的蜂窝/RAN 行为，却需要专用基础设施。本文方案不声称在所有维度上优于 SDR，而是定位在三者之间：使用消费级 802.11 硬件保留真实空口，同时通过 Radiotap 发射请求和接收侧观测把部分 PHY/MAC 行为变成可核查的实验变量。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本文方案：基于 802.11 monitor 模式与原始帧注入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本文的 testbed 基于现成消费级 802.11 硬件，利用 monitor 模式接收和原始帧注入（raw frame injection）把无线链路做成可编程的实验载体。Monitor 模式使接口脱离常规关联数据路径，并把捕获帧及驱动提供的 Radiotap 元数据暴露给用户态；原始帧注入则在 Radiotap header 中请求指定 MCS、带宽、short GI 等发射参数，并以广播方式发送。这里的“请求”只有在所选网卡、驱动和固件支持并实际生效时才构成实验事实，接收侧 Radiotap 也属于驱动提供的观测元数据，而不是独立校准的射频仪器。这一方案同时满足三项需求：数据经过真实无线收发（需求 1），关键 PHY/MAC 参数可显式请求并在接收侧观测确认（需求 2），所用硬件为消费级 Wi-Fi 网卡，部署门槛低（需求 3）。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系统定位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在"把真实无线链路做成实验变量的程度"这一维度上，现有 FL 平台各有侧重：Flower </w:t>
      </w:r>
      <w:r>
        <w:rPr>
          <w:rFonts w:ascii="Consolas" w:hAnsi="Consolas" w:eastAsia="等线"/>
          <w:shd w:fill="F1F1F1"/>
          <w:color w:val="666666"/>
        </w:rPr>
        <w:t>[ref-定位1]</w:t>
      </w:r>
      <w:r>
        <w:rPr>
          <w:rFonts w:ascii="Times New Roman" w:hAnsi="Times New Roman" w:eastAsia="宋体"/>
        </w:rPr>
        <w:t xml:space="preserve"> 和 FedScale </w:t>
      </w:r>
      <w:r>
        <w:rPr>
          <w:rFonts w:ascii="Consolas" w:hAnsi="Consolas" w:eastAsia="等线"/>
          <w:shd w:fill="F1F1F1"/>
          <w:color w:val="666666"/>
        </w:rPr>
        <w:t>[ref-定位2]</w:t>
      </w:r>
      <w:r>
        <w:rPr>
          <w:rFonts w:ascii="Times New Roman" w:hAnsi="Times New Roman" w:eastAsia="宋体"/>
        </w:rPr>
        <w:t xml:space="preserve"> 提供通用 FL 编排和 benchmark，但不暴露无线链路；FedComm </w:t>
      </w:r>
      <w:r>
        <w:rPr>
          <w:rFonts w:ascii="Consolas" w:hAnsi="Consolas" w:eastAsia="等线"/>
          <w:shd w:fill="F1F1F1"/>
          <w:color w:val="666666"/>
        </w:rPr>
        <w:t>[ref-定位3]</w:t>
      </w:r>
      <w:r>
        <w:rPr>
          <w:rFonts w:ascii="Times New Roman" w:hAnsi="Times New Roman" w:eastAsia="宋体"/>
        </w:rPr>
        <w:t xml:space="preserve"> 研究通信协议对 FL 的影响，但其实验环境以仿真为主；近期一项跨国 MQTT FL testbed </w:t>
      </w:r>
      <w:r>
        <w:rPr>
          <w:rFonts w:ascii="Consolas" w:hAnsi="Consolas" w:eastAsia="等线"/>
          <w:shd w:fill="F1F1F1"/>
          <w:color w:val="666666"/>
        </w:rPr>
        <w:t>[ref-定位4]</w:t>
      </w:r>
      <w:r>
        <w:rPr>
          <w:rFonts w:ascii="Times New Roman" w:hAnsi="Times New Roman" w:eastAsia="宋体"/>
        </w:rPr>
        <w:t xml:space="preserve"> 在真实广域网上部署端到端 FL，但无线链路行为不在其实验控制范围。本文 testbed 的定位是让真实无线链路成为 FL 实验的显式变量，而非在编排能力、客户端规模或 benchmark 覆盖上与上述平台竞争。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3 节 Cross-Layer Testbed and Programmable Air Interface（约 1000 词）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把真实无线链路从 FL 抽象层下面拿出来，做成可控制、可测量、可重复的实验载体</w:t>
      </w:r>
      <w:r>
        <w:rPr>
          <w:rFonts w:ascii="Times New Roman" w:hAnsi="Times New Roman" w:eastAsia="宋体"/>
        </w:rPr>
        <w:t>——要实现这一目标，系统需要从算法层到物理层的完整跨层架构，使无线配置、链路观测和 FL 轮次结果之间的关系可追溯。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本节说明 testbed 的静态跨层架构、可编程空口边界和观测面。它回答"系统是什么、哪些边界被暴露"，不回答"契约失败如何判定"——后者留给第 4 节。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五层跨层架构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系统从上到下分为五层，依赖只能沿上层到下层方向表达；完成结果沿下层向上层返回：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1. </w:t>
      </w:r>
      <w:r>
        <w:rPr>
          <w:rFonts w:ascii="Times New Roman" w:hAnsi="Times New Roman" w:eastAsia="宋体"/>
          <w:b/>
          <w:bCs/>
        </w:rPr>
        <w:t>FL 算法层</w:t>
      </w:r>
      <w:r>
        <w:rPr>
          <w:rFonts w:ascii="Times New Roman" w:hAnsi="Times New Roman" w:eastAsia="宋体"/>
        </w:rPr>
        <w:t>：表达联邦学习业务语义——训练、评估和聚合。算法层通过 Runtime 的四个本机接口（</w:t>
      </w:r>
      <w:r>
        <w:rPr>
          <w:rFonts w:ascii="Consolas" w:hAnsi="Consolas" w:eastAsia="等线"/>
          <w:shd w:fill="F1F1F1"/>
        </w:rPr>
        <w:t>publish_model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等线"/>
          <w:shd w:fill="F1F1F1"/>
        </w:rPr>
        <w:t>wait_for_model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等线"/>
          <w:shd w:fill="F1F1F1"/>
        </w:rPr>
        <w:t>submit_update</w:t>
      </w:r>
      <w:r>
        <w:rPr>
          <w:rFonts w:ascii="Times New Roman" w:hAnsi="Times New Roman" w:eastAsia="宋体"/>
        </w:rPr>
        <w:t>、</w:t>
      </w:r>
      <w:r>
        <w:rPr>
          <w:rFonts w:ascii="Consolas" w:hAnsi="Consolas" w:eastAsia="等线"/>
          <w:shd w:fill="F1F1F1"/>
        </w:rPr>
        <w:t>wait_for_updates</w:t>
      </w:r>
      <w:r>
        <w:rPr>
          <w:rFonts w:ascii="Times New Roman" w:hAnsi="Times New Roman" w:eastAsia="宋体"/>
        </w:rPr>
        <w:t>）表达文件交换，不直接调用 Transport、链路层或物理层。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2. </w:t>
      </w:r>
      <w:r>
        <w:rPr>
          <w:rFonts w:ascii="Times New Roman" w:hAnsi="Times New Roman" w:eastAsia="宋体"/>
          <w:b/>
          <w:bCs/>
        </w:rPr>
        <w:t>FL Runtime / SDK 层</w:t>
      </w:r>
      <w:r>
        <w:rPr>
          <w:rFonts w:ascii="Times New Roman" w:hAnsi="Times New Roman" w:eastAsia="宋体"/>
        </w:rPr>
        <w:t>：轮次编排、模型发布、模型等待、update 提交和 update 收集。Runtime 在每轮开始时冻结本轮参与客户端集合，该快照同时约束模型发布目标和 update 收齐集合。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3. </w:t>
      </w:r>
      <w:r>
        <w:rPr>
          <w:rFonts w:ascii="Times New Roman" w:hAnsi="Times New Roman" w:eastAsia="宋体"/>
          <w:b/>
          <w:bCs/>
        </w:rPr>
        <w:t>Transport Backend 层</w:t>
      </w:r>
      <w:r>
        <w:rPr>
          <w:rFonts w:ascii="Times New Roman" w:hAnsi="Times New Roman" w:eastAsia="宋体"/>
        </w:rPr>
        <w:t>：把 FL 文件交换映射到具体传输机制。下行使用 UFTP closed group 一发多收分发模型文件；上行采用每客户端独立 HTTP PUT 提交 update。Transport 只交付文件传输结果和完整性校验，不决定 FL 轮次成功或失败。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4. </w:t>
      </w:r>
      <w:r>
        <w:rPr>
          <w:rFonts w:ascii="Times New Roman" w:hAnsi="Times New Roman" w:eastAsia="宋体"/>
          <w:b/>
          <w:bCs/>
        </w:rPr>
        <w:t>链路层（集成式链路层底座）</w:t>
      </w:r>
      <w:r>
        <w:rPr>
          <w:rFonts w:ascii="Times New Roman" w:hAnsi="Times New Roman" w:eastAsia="宋体"/>
        </w:rPr>
        <w:t>：位于 TUN 虚拟网络边界之下，统一承接空口发送权、控制面与数据面分流、有限队列、反压和反馈。核心调度机制为 Token Passing——一种中心化的空口发送权分配：server 只向活跃队列中的 client 发放上行 GRANT（发送机会），client 通过 READY 声明加入活跃队列。下行 UFTP 反馈使用反向控制窗口，server 周期性暂停主发送、向 client 发放短 GRANT 以回传缺块或完成状态。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5. </w:t>
      </w:r>
      <w:r>
        <w:rPr>
          <w:rFonts w:ascii="Times New Roman" w:hAnsi="Times New Roman" w:eastAsia="宋体"/>
          <w:b/>
          <w:bCs/>
        </w:rPr>
        <w:t>无线物理层</w:t>
      </w:r>
      <w:r>
        <w:rPr>
          <w:rFonts w:ascii="Times New Roman" w:hAnsi="Times New Roman" w:eastAsia="宋体"/>
        </w:rPr>
        <w:t>：提供 802.11 monitor 接收、raw injection、广播承载和射频观测能力。物理层不拥有文件完整性判定——广播没有硬件 ACK，文件完成必须由 Transport 和 Runtime 逐层确认。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72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F1  静态跨层架构与抽象差异图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待制作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F1 在同一张架构图中完成双重论证：（1）展示五层架构的数据路径和控制路径，标出模型发布、update 提交、Token Passing、反馈和接收观测的位置；（2）标注主流 FL 框架把无线链路隐藏为可靠管道的位置——在该位置，本系统暴露了控制点（可编程参数）和观测点（射频元数据）。F1 不画完整轮次时序、不画故障分叉、不证明旋钮已生效。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可编程参数与观测面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在网卡、驱动和监管域允许的范围内，系统暴露以下可编程参数：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链路标识（link_id / channel_id）和信道</w:t>
      </w:r>
      <w:r>
        <w:rPr>
          <w:rFonts w:ascii="Times New Roman" w:hAnsi="Times New Roman" w:eastAsia="宋体"/>
        </w:rPr>
        <w:t>：确定无线链路的频段和通信范围隔离。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带宽</w:t>
      </w:r>
      <w:r>
        <w:rPr>
          <w:rFonts w:ascii="Times New Roman" w:hAnsi="Times New Roman" w:eastAsia="宋体"/>
        </w:rPr>
        <w:t>：20 MHz 或 40 MHz。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MCS（调制编码方案）索引</w:t>
      </w:r>
      <w:r>
        <w:rPr>
          <w:rFonts w:ascii="Times New Roman" w:hAnsi="Times New Roman" w:eastAsia="宋体"/>
        </w:rPr>
        <w:t>：HT/VHT MCS 0–31，通过 Radiotap header 指定。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Short GI</w:t>
      </w:r>
      <w:r>
        <w:rPr>
          <w:rFonts w:ascii="Times New Roman" w:hAnsi="Times New Roman" w:eastAsia="宋体"/>
        </w:rPr>
        <w:t>：缩短保护间隔以提高吞吐。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FEC 参数（fec-k / fec-n）</w:t>
      </w:r>
      <w:r>
        <w:rPr>
          <w:rFonts w:ascii="Times New Roman" w:hAnsi="Times New Roman" w:eastAsia="宋体"/>
        </w:rPr>
        <w:t>：前向纠错编码比率。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队列水位</w:t>
      </w:r>
      <w:r>
        <w:rPr>
          <w:rFonts w:ascii="Times New Roman" w:hAnsi="Times New Roman" w:eastAsia="宋体"/>
        </w:rPr>
        <w:t>：控制链路层发送队列的 pause/resume 阈值和反压行为。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Grant 持续时间和保护间隔</w:t>
      </w:r>
      <w:r>
        <w:rPr>
          <w:rFonts w:ascii="Times New Roman" w:hAnsi="Times New Roman" w:eastAsia="宋体"/>
        </w:rPr>
        <w:t>：每次上行发送机会的时长和间隔。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反馈窗口参数</w:t>
      </w:r>
      <w:r>
        <w:rPr>
          <w:rFonts w:ascii="Times New Roman" w:hAnsi="Times New Roman" w:eastAsia="宋体"/>
        </w:rPr>
        <w:t>：下行 UFTP 反馈轮的周期和持续时间。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方向流（uplink/downlink stream）</w:t>
      </w:r>
      <w:r>
        <w:rPr>
          <w:rFonts w:ascii="Times New Roman" w:hAnsi="Times New Roman" w:eastAsia="宋体"/>
        </w:rPr>
        <w:t>：上下行方向链路域。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发射功率</w:t>
      </w:r>
      <w:r>
        <w:rPr>
          <w:rFonts w:ascii="Times New Roman" w:hAnsi="Times New Roman" w:eastAsia="宋体"/>
        </w:rPr>
        <w:t>：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行在能力矩阵中保留。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投稿前置依赖</w:t>
      </w:r>
      <w:r>
        <w:rPr>
          <w:rFonts w:ascii="Times New Roman" w:hAnsi="Times New Roman" w:eastAsia="宋体"/>
        </w:rPr>
        <w:t>：发射功率（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）在当前系统中尚未实现为显式旋钮，仅由驱动默认控制。系统侧补 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实现、记录和正式资格数据是投稿前置条件。在此之前，发射功率不能写成已验证的可编程能力。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上述参数通过命令行参数传入集成式链路层底座（</w:t>
      </w:r>
      <w:r>
        <w:rPr>
          <w:rFonts w:ascii="Consolas" w:hAnsi="Consolas" w:eastAsia="等线"/>
          <w:shd w:fill="F1F1F1"/>
        </w:rPr>
        <w:t>wfb_v6_uplink</w:t>
      </w:r>
      <w:r>
        <w:rPr>
          <w:rFonts w:ascii="Times New Roman" w:hAnsi="Times New Roman" w:eastAsia="宋体"/>
        </w:rPr>
        <w:t>），并经 FL 服务配置（</w:t>
      </w:r>
      <w:r>
        <w:rPr>
          <w:rFonts w:ascii="Consolas" w:hAnsi="Consolas" w:eastAsia="等线"/>
          <w:shd w:fill="F1F1F1"/>
        </w:rPr>
        <w:t>fl-*.json</w:t>
      </w:r>
      <w:r>
        <w:rPr>
          <w:rFonts w:ascii="Times New Roman" w:hAnsi="Times New Roman" w:eastAsia="宋体"/>
        </w:rPr>
        <w:t xml:space="preserve"> 的 </w:t>
      </w:r>
      <w:r>
        <w:rPr>
          <w:rFonts w:ascii="Consolas" w:hAnsi="Consolas" w:eastAsia="等线"/>
          <w:shd w:fill="F1F1F1"/>
        </w:rPr>
        <w:t>link_args</w:t>
      </w:r>
      <w:r>
        <w:rPr>
          <w:rFonts w:ascii="Times New Roman" w:hAnsi="Times New Roman" w:eastAsia="宋体"/>
        </w:rPr>
        <w:t>）透传。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射频观测面</w:t>
      </w:r>
      <w:r>
        <w:rPr>
          <w:rFonts w:ascii="Times New Roman" w:hAnsi="Times New Roman" w:eastAsia="宋体"/>
        </w:rPr>
        <w:t>：接收侧通过 RX_ANT 日志报告每帧的频率、MCS、带宽和 RSSI（min-avg-max），这是当前唯一的空口观测面。它提供"发射参数是否到达空口"的观测依据，但不是文件完整性确认。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真实硬件与模拟组件边界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系统在真实硬件和模拟组件之间有明确边界：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真实</w:t>
      </w:r>
      <w:r>
        <w:rPr>
          <w:rFonts w:ascii="Times New Roman" w:hAnsi="Times New Roman" w:eastAsia="宋体"/>
        </w:rPr>
        <w:t>：无线物理层收发（monitor 接收、raw injection、广播）经过真实 802.11 硬件和空口。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模拟/替代</w:t>
      </w:r>
      <w:r>
        <w:rPr>
          <w:rFonts w:ascii="Times New Roman" w:hAnsi="Times New Roman" w:eastAsia="宋体"/>
        </w:rPr>
        <w:t>：netns（网络命名空间）验收场景使用 UDP 替代真实空口，用于验证从 Transport 到 Runtime 的端到端流程逻辑，但不测试射频行为。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这一边界将在第 5 节 F3 中正式记录。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架构暴露了跨层边界，但暴露边界不等于实验可信——下一节说明跨层完成、失败和验证覆盖如何被定义。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4 节 Cross-Layer Contracts and Layered Validation（约 700 词）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上一节展示了系统把无线链路暴露为实验变量的静态架构。但仅有架构还不够：在广播无线链路上，没有硬件 ACK，帧可能丢失、乱序或损坏，多客户端的 update 需要收齐才能聚合。如果没有明确的完成和失败语义，实验结果就无法被核查。本节用一次 FL 轮次穿过契约层的叙事，说明系统如何定义正确性、识别失败，以及每个验证层能证明什么。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一次 FL 轮次穿过契约层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一次完整的 FL 轮次从 server 发布模型到收齐全部 update、完成聚合。在这个过程中，数据在五层之间流动，每层用契约不变式守护其边界。我们沿正常路径走过一次轮次，在故障可能发生的每个时刻引入对应的契约。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下行：模型到达客户端。</w:t>
      </w:r>
      <w:r>
        <w:rPr>
          <w:rFonts w:ascii="Times New Roman" w:hAnsi="Times New Roman" w:eastAsia="宋体"/>
        </w:rPr>
        <w:t xml:space="preserve"> Server 通过 UFTP closed group 把模型文件广播给本轮参与客户端。UFTP 的 status file 提供逐客户端、逐文件的交付结果矩阵。但物理广播没有硬件 ACK——UFTP 自身报告的传输完成不等于 client Runtime 的校验成功。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乱序/损坏</w:t>
      </w:r>
      <w:r>
        <w:rPr>
          <w:rFonts w:ascii="Times New Roman" w:hAnsi="Times New Roman" w:eastAsia="宋体"/>
        </w:rPr>
        <w:t xml:space="preserve">：client 收到模型后，Runtime 对 manifest 执行结构校验并对数据文件计算 SHA-256。如果 </w:t>
      </w:r>
      <w:r>
        <w:rPr>
          <w:rFonts w:ascii="Consolas" w:hAnsi="Consolas" w:eastAsia="等线"/>
          <w:shd w:fill="F1F1F1"/>
        </w:rPr>
        <w:t>round_id</w:t>
      </w:r>
      <w:r>
        <w:rPr>
          <w:rFonts w:ascii="Times New Roman" w:hAnsi="Times New Roman" w:eastAsia="宋体"/>
        </w:rPr>
        <w:t xml:space="preserve"> 不匹配或文件摘要不一致，接收失败，不能开始训练。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未完整交付</w:t>
      </w:r>
      <w:r>
        <w:rPr>
          <w:rFonts w:ascii="Times New Roman" w:hAnsi="Times New Roman" w:eastAsia="宋体"/>
        </w:rPr>
        <w:t>：只有 Transport 确认全部预期客户端的模型文件交付成功，server Runtime 才越过</w:t>
      </w:r>
      <w:r>
        <w:rPr>
          <w:rFonts w:ascii="Times New Roman" w:hAnsi="Times New Roman" w:eastAsia="宋体"/>
          <w:b/>
          <w:bCs/>
        </w:rPr>
        <w:t>下行完成屏障</w:t>
      </w:r>
      <w:r>
        <w:rPr>
          <w:rFonts w:ascii="Times New Roman" w:hAnsi="Times New Roman" w:eastAsia="宋体"/>
        </w:rPr>
        <w:t>。单个 client 的本地校验不能替代该屏障。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上行：update 到达 server。</w:t>
      </w:r>
      <w:r>
        <w:rPr>
          <w:rFonts w:ascii="Times New Roman" w:hAnsi="Times New Roman" w:eastAsia="宋体"/>
        </w:rPr>
        <w:t xml:space="preserve"> 每个 client 完成训练后，通过 HTTP PUT 提交 update。请求携带 </w:t>
      </w:r>
      <w:r>
        <w:rPr>
          <w:rFonts w:ascii="Consolas" w:hAnsi="Consolas" w:eastAsia="等线"/>
          <w:shd w:fill="F1F1F1"/>
        </w:rPr>
        <w:t>Content-Length</w:t>
      </w:r>
      <w:r>
        <w:rPr>
          <w:rFonts w:ascii="Times New Roman" w:hAnsi="Times New Roman" w:eastAsia="宋体"/>
        </w:rPr>
        <w:t xml:space="preserve"> 和 </w:t>
      </w:r>
      <w:r>
        <w:rPr>
          <w:rFonts w:ascii="Consolas" w:hAnsi="Consolas" w:eastAsia="等线"/>
          <w:shd w:fill="F1F1F1"/>
        </w:rPr>
        <w:t>Content-Digest</w:t>
      </w:r>
      <w:r>
        <w:rPr>
          <w:rFonts w:ascii="Times New Roman" w:hAnsi="Times New Roman" w:eastAsia="宋体"/>
        </w:rPr>
        <w:t>（SHA-256），server 流式接收 body 并独立计算摘要。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伪完成</w:t>
      </w:r>
      <w:r>
        <w:rPr>
          <w:rFonts w:ascii="Times New Roman" w:hAnsi="Times New Roman" w:eastAsia="宋体"/>
        </w:rPr>
        <w:t xml:space="preserve">：一次成功交付必须走完 </w:t>
      </w:r>
      <w:r>
        <w:rPr>
          <w:rFonts w:ascii="Consolas" w:hAnsi="Consolas" w:eastAsia="等线"/>
          <w:shd w:fill="F1F1F1"/>
        </w:rPr>
        <w:t>100 Continue → PUT body → 201 Created</w:t>
      </w:r>
      <w:r>
        <w:rPr>
          <w:rFonts w:ascii="Times New Roman" w:hAnsi="Times New Roman" w:eastAsia="宋体"/>
        </w:rPr>
        <w:t xml:space="preserve"> 的完整序列。server 先为 </w:t>
      </w:r>
      <w:r>
        <w:rPr>
          <w:rFonts w:ascii="Consolas" w:hAnsi="Consolas" w:eastAsia="等线"/>
          <w:shd w:fill="F1F1F1"/>
        </w:rPr>
        <w:t>(round_id, NODE_ID)</w:t>
      </w:r>
      <w:r>
        <w:rPr>
          <w:rFonts w:ascii="Times New Roman" w:hAnsi="Times New Roman" w:eastAsia="宋体"/>
        </w:rPr>
        <w:t xml:space="preserve"> 原子预留上传槽位，再发送 </w:t>
      </w:r>
      <w:r>
        <w:rPr>
          <w:rFonts w:ascii="Consolas" w:hAnsi="Consolas" w:eastAsia="等线"/>
          <w:shd w:fill="F1F1F1"/>
        </w:rPr>
        <w:t>100 Continue</w:t>
      </w:r>
      <w:r>
        <w:rPr>
          <w:rFonts w:ascii="Times New Roman" w:hAnsi="Times New Roman" w:eastAsia="宋体"/>
        </w:rPr>
        <w:t xml:space="preserve">；只有数据文件和 update manifest 都原子落位后，才返回 </w:t>
      </w:r>
      <w:r>
        <w:rPr>
          <w:rFonts w:ascii="Consolas" w:hAnsi="Consolas" w:eastAsia="等线"/>
          <w:shd w:fill="F1F1F1"/>
        </w:rPr>
        <w:t>201 Created</w:t>
      </w:r>
      <w:r>
        <w:rPr>
          <w:rFonts w:ascii="Times New Roman" w:hAnsi="Times New Roman" w:eastAsia="宋体"/>
        </w:rPr>
        <w:t>。越过最终 manifest 提交点后，该 Transport 成功事实不可逆——即使 Runtime 随后进入失败，也不能追溯改写。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缺员</w:t>
      </w:r>
      <w:r>
        <w:rPr>
          <w:rFonts w:ascii="Times New Roman" w:hAnsi="Times New Roman" w:eastAsia="宋体"/>
        </w:rPr>
        <w:t>：server 等待本轮参与客户端集合的全部有效 update。只有在下行完成屏障已达成且全员 update 收齐时，Runtime 才持久化成功终态并向算法层交付完整聚合输入。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超时与终止</w:t>
      </w:r>
      <w:r>
        <w:rPr>
          <w:rFonts w:ascii="Times New Roman" w:hAnsi="Times New Roman" w:eastAsia="宋体"/>
        </w:rPr>
        <w:t>：当完成条件未满足时，终止策略独立于成功条件。v8 采用严格同步——任一参与 client 的确定性提交失败使整轮失败。超时和完成不是同一不变式。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72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F2  轮次时序与契约不变式图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待制作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F2 是唯一的动态轮次图。以成功路径为主脊柱，归并展示三类故障分叉：乱序/损坏、未完整交付、缺员/超时。每处标出对应不变式和可观察点，并叠加三层验证边界。F2 不展示测试通过率、netns 验收成绩或正式性能数字。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分层验证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系统把验证分为三层，每层有明确的能力和不能力边界：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1. </w:t>
      </w:r>
      <w:r>
        <w:rPr>
          <w:rFonts w:ascii="Times New Roman" w:hAnsi="Times New Roman" w:eastAsia="宋体"/>
          <w:b/>
          <w:bCs/>
        </w:rPr>
        <w:t>契约层</w:t>
      </w:r>
      <w:r>
        <w:rPr>
          <w:rFonts w:ascii="Times New Roman" w:hAnsi="Times New Roman" w:eastAsia="宋体"/>
        </w:rPr>
        <w:t>核查语义不变式：manifest 结构、摘要一致、轮次身份匹配、提交序列完整。它能发现损坏和身份不一致，但不能证明链路行为符合配置。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2. </w:t>
      </w:r>
      <w:r>
        <w:rPr>
          <w:rFonts w:ascii="Times New Roman" w:hAnsi="Times New Roman" w:eastAsia="宋体"/>
          <w:b/>
          <w:bCs/>
        </w:rPr>
        <w:t>netns / 流程层</w:t>
      </w:r>
      <w:r>
        <w:rPr>
          <w:rFonts w:ascii="Times New Roman" w:hAnsi="Times New Roman" w:eastAsia="宋体"/>
        </w:rPr>
        <w:t>核查端到端流程和边界交互：在 UDP 替代空口的环境中运行完整 FL 轮次，验证从 Runtime 到 Transport 的文件交换闭环。它能发现流程集成问题和状态机缺陷，但不测试真实射频行为。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3. </w:t>
      </w:r>
      <w:r>
        <w:rPr>
          <w:rFonts w:ascii="Times New Roman" w:hAnsi="Times New Roman" w:eastAsia="宋体"/>
          <w:b/>
          <w:bCs/>
        </w:rPr>
        <w:t>真实空口层</w:t>
      </w:r>
      <w:r>
        <w:rPr>
          <w:rFonts w:ascii="Times New Roman" w:hAnsi="Times New Roman" w:eastAsia="宋体"/>
        </w:rPr>
        <w:t>核查物理链路行为、射频观测值和跨层时间记录。它是唯一能够证明"发射参数确实到达空口并产生可观测链路差异"的层。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证据边界</w:t>
      </w:r>
      <w:r>
        <w:rPr>
          <w:rFonts w:ascii="Times New Roman" w:hAnsi="Times New Roman" w:eastAsia="宋体"/>
        </w:rPr>
        <w:t>：开发期 135 个契约用例、netns 验收脚本、验收 log、演示面板和 2A 行为计数器是方法来源和工程准备度背景，但不是投稿正文结果。第 4 节不声称验证方法单独保证系统正确且可复现，而是说它把主张拆成可核查不变式并界定了每层证据覆盖。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下一节将用正式实验展示：能力是否具备正式证据、链路旋钮是否产生可重复差异、差异如何传递到 FL 轮次。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5 节 Experimental Evidence（约 1200 词）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前两节描述了 testbed 的架构与契约。本节用正式实验回答三个递进问题：系统声称的能力是否具备正式资格？配置差异是否到达真实链路并可重复？链路差异如何传播到端到端 FL 轮次？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实验条件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72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F3  实验平台与测量拓扑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待实验确定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F3 记录真实实验的节点、无线链路、观测点、软件/硬件边界、模拟组件和数据采集时间线。它是实验条件和测量边界图，不是"真实性证据"——它不证明能力或性能，只明确实验是在什么条件下进行的。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待正式实验回填</w:t>
      </w:r>
      <w:r>
        <w:rPr>
          <w:rFonts w:ascii="Times New Roman" w:hAnsi="Times New Roman" w:eastAsia="宋体"/>
        </w:rPr>
        <w:t>：F3 的具体内容（硬件型号、信道、拓扑）待实验执行后确定。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实验资格确认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在回答学术研究问题之前，首先确认：论文声称支持的每个旋钮，是否能在真实硬件运行中被设定，并在其承诺的观测点得到确认？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64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T1  正式能力结果矩阵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设计占位，待正式实验回填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T1 对每个宣称的可编程旋钮逐行报告：</w:t>
      </w:r>
    </w:p>
    <w:tbl>
      <w:tblPr>
        <w:tblW w:w="9026" w:type="dxa"/>
        <w:tblLayout w:type="fixed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旋钮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配置值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发送侧实际编码/元数据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接收侧/射频观测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正式运行成功次数和重复口径</w:t>
            </w:r>
          </w:p>
        </w:tc>
        <w:tc>
          <w:tcPr>
            <w:tcW w:w="1506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硬件/驱动/频段/观测边界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信道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如 ch157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Radiotap channel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RX_ANT freq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带宽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20 / 40 MHz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Radiotap bandwidth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RX_ANT bw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MCS 索引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0–31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Radiotap MCS index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RX_ANT mcs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Short GI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on/off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Radiotap short GI flag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RX_ANT 推断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FEC (k/n)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如 8/12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链路层 FEC header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链路层解码统计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Grant 持续时间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如 120 ms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控制帧 duration_ms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链路层日志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发射功率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>待实现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>待 txpower 旋钮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RX_ANT RSSI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>投稿前置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系统侧须先补实现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 xml:space="preserve">T1 的标准：只有配置值被设定、发送侧元数据或编码与配置一致、并且在接收侧/射频观测点得到独立确认的旋钮才能标为已验证。CLI 接受参数、进程启动或开发冒烟通过不能作为验证结果。发射功率行保留，但在 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系统实现完成前是投稿阻塞项。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T1 的作用是资格确认，不单独制造学术研究问题；它为后续 RQ1/RQ2 定义哪些配置可以进入正式实验。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待正式实验回填</w:t>
      </w:r>
      <w:r>
        <w:rPr>
          <w:rFonts w:ascii="Times New Roman" w:hAnsi="Times New Roman" w:eastAsia="宋体"/>
        </w:rPr>
        <w:t>：T1 的全部观测值、成功次数和边界说明待实验执行后填入。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RQ1：MCS 生效与可重复链路差异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研究问题</w:t>
      </w:r>
      <w:r>
        <w:rPr>
          <w:rFonts w:ascii="Times New Roman" w:hAnsi="Times New Roman" w:eastAsia="宋体"/>
        </w:rPr>
        <w:t>：在资格确认通过的配置中，MCS 旋钮是否到达真实链路，并产生可观测、可重复的链路差异？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实验设计：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选取约 3 个 MCS 设置（如 MCS 0、MCS 4、MCS 7——具体待实验确定）。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每设置运行 5–10 次重复。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每次记录：发射配置（Radiotap header 中的 MCS 索引）、接收侧观测（RX_ANT 报告的 MCS、RSSI）和一个有解释力的链路/交付指标（如帧接收率或吞吐）。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72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F4  MCS 重复实验结果图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待正式实验回填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F4 采用多面板呈现：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面板 A：配置到接收侧 MCS 观测的对应——确认发射 MCS 确实到达空口。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面板 B：链路结果分布——不同 MCS 设置下的链路指标中位数和 IQR（四分位距）。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图注写明重复次数和统计口径（中位数/IQR）。F4 的唯一论证是"被选配置的链路差异及其重复性被正式观察到"。F4 不推广到未测 MCS、设备、频段或无线环境，也不推出整个系统性能或最终模型准确率收益。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待正式实验回填</w:t>
      </w:r>
      <w:r>
        <w:rPr>
          <w:rFonts w:ascii="Times New Roman" w:hAnsi="Times New Roman" w:eastAsia="宋体"/>
        </w:rPr>
        <w:t>：F4 的全部数据待 MCS 重复实验执行后产出。当前为设计占位。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RQ2：链路差异如何传播到端到端 FL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  <w:b/>
          <w:bCs/>
        </w:rPr>
        <w:t>研究问题</w:t>
      </w:r>
      <w:r>
        <w:rPr>
          <w:rFonts w:ascii="Times New Roman" w:hAnsi="Times New Roman" w:eastAsia="宋体"/>
        </w:rPr>
        <w:t>：选定的链路差异是否沿"链路行为 → 完整文件交付 → update 收齐 → round 完成 → wall-clock 学习进度"传递？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实验设计：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从 RQ1 选择 2 个配置（如一个低速 MCS 和一个高速 MCS）。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使用多客户端（至少 2 个）、多轮正式 FL 实验。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每轮记录：链路/接收观测、完整文件交付时间、update 收齐时间、round latency 及必要的延迟分解。</w:t>
      </w:r>
    </w:p>
    <w:tbl>
      <w:tblPr>
        <w:tblW w:w="9026" w:type="dxa"/>
        <w:tblLayout w:type="fixed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9026"/>
      </w:tblGrid>
      <w:tr>
        <w:trPr>
          <w:trHeight w:val="720" w:hRule="atLeast"/>
        </w:trPr>
        <w:tc>
          <w:tcPr>
            <w:tcW w:w="9026" w:type="dxa"/>
            <w:shd w:fill="EDEDED"/>
          </w:tcPr>
          <w:p>
            <w:pPr>
              <w:pStyle w:val="Normal"/>
              <w:spacing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color w:val="666666"/>
                <w:sz w:val="20"/>
                <w:szCs w:val="20"/>
              </w:rPr>
              <w:t>图稿占位：</w:t>
            </w:r>
            <w:r>
              <w:rPr>
                <w:rFonts w:ascii="Times New Roman" w:hAnsi="Times New Roman" w:eastAsia="宋体"/>
                <w:b/>
                <w:bCs/>
                <w:sz w:val="20"/>
                <w:szCs w:val="20"/>
              </w:rPr>
              <w:t>F5  端到端 FL 轮次结果图</w:t>
            </w:r>
            <w:r>
              <w:rPr>
                <w:rFonts w:ascii="Times New Roman" w:hAnsi="Times New Roman" w:eastAsia="宋体"/>
                <w:color w:val="666666"/>
                <w:sz w:val="20"/>
                <w:szCs w:val="20"/>
              </w:rPr>
              <w:t xml:space="preserve">  |  待正式实验回填</w:t>
            </w:r>
          </w:p>
        </w:tc>
      </w:tr>
    </w:tbl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F5 多面板展示两种配置下的证据链：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面板 A：链路层指标（接收 MCS、RSSI 等）——确认链路差异在 FL 实验中持续存在。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面板 B：交付与收齐指标——模型交付时间、update 收齐时间。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</w:rPr>
        <w:t>面板 C：轮次延迟与 wall-clock 学习进度——round latency 对比和 accuracy vs. wall-clock time。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F5 的唯一论证是空口差异如何传播到系统进度。它不与普通 Wi-Fi、技术对手或其他平台做性能比较，不宣称最终准确率提升。Wall-clock 学习进度的报告必须配合按轮次口径或相同训练配置说明，避免把时间轴拉伸写成按轮次收敛规律改变或算法准确率收益。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待正式实验回填</w:t>
      </w:r>
      <w:r>
        <w:rPr>
          <w:rFonts w:ascii="Times New Roman" w:hAnsi="Times New Roman" w:eastAsia="宋体"/>
        </w:rPr>
        <w:t>：F5 的全部数据待端到端 FL 轮次实验执行后产出。当前为设计占位。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第 6 节 Discussion and Open Challenges（约 600 词）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实验洞察与贡献回声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待正式实验后撰写</w:t>
      </w:r>
      <w:r>
        <w:rPr>
          <w:rFonts w:ascii="Times New Roman" w:hAnsi="Times New Roman" w:eastAsia="宋体"/>
        </w:rPr>
        <w:t>：本段将从 T1/F4/F5 的正式证据中提炼实验洞察，并回声三项贡献。以下为结构骨架。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正式能力资格确认（T1）将展示：在现成 802.11 硬件上，通过 monitor 模式与原始帧注入，本 testbed 能够将哪些 PHY/MAC 参数作为显式实验变量，在哪些边界内有效。MCS 重复实验（F4）将展示：配置差异确实到达真实空口，并产生可重复的链路差异。端到端 FL 轮次实验（F5）将展示：链路差异沿文件交付、收齐和轮次完成传播到训练进度。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这些结果共同指向本文的中心主张：</w:t>
      </w:r>
      <w:r>
        <w:rPr>
          <w:rFonts w:ascii="Times New Roman" w:hAnsi="Times New Roman" w:eastAsia="宋体"/>
          <w:b/>
          <w:bCs/>
        </w:rPr>
        <w:t>把真实无线链路从 FL 抽象层下面拿出来，做成可控制、可测量、可重复的实验载体</w:t>
      </w:r>
      <w:r>
        <w:rPr>
          <w:rFonts w:ascii="Times New Roman" w:hAnsi="Times New Roman" w:eastAsia="宋体"/>
        </w:rPr>
        <w:t>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证据门槛</w:t>
      </w:r>
      <w:r>
        <w:rPr>
          <w:rFonts w:ascii="Times New Roman" w:hAnsi="Times New Roman" w:eastAsia="宋体"/>
        </w:rPr>
        <w:t>：上述洞察只有在正式实验数据成立后才能以完成态写入。如果实验未完成或发射功率前置未解决，对应贡献不能写成已验证。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本文证据边界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本文的实验证据受以下边界约束，读者在解释结果时应注意：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硬件规模</w:t>
      </w:r>
      <w:r>
        <w:rPr>
          <w:rFonts w:ascii="Times New Roman" w:hAnsi="Times New Roman" w:eastAsia="宋体"/>
        </w:rPr>
        <w:t>：实验使用少量消费级 802.11 网卡和有限数量节点，不代表大规模部署。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设备和频段覆盖</w:t>
      </w:r>
      <w:r>
        <w:rPr>
          <w:rFonts w:ascii="Times New Roman" w:hAnsi="Times New Roman" w:eastAsia="宋体"/>
        </w:rPr>
        <w:t>：结果仅适用于实验所用的特定硬件型号、驱动版本和频段；不同设备可能表现不同。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观测面</w:t>
      </w:r>
      <w:r>
        <w:rPr>
          <w:rFonts w:ascii="Times New Roman" w:hAnsi="Times New Roman" w:eastAsia="宋体"/>
        </w:rPr>
        <w:t>：RX_ANT 日志是当前唯一射频观测面，提供帧级 MCS/RSSI/带宽/频率；它不是精密射频测量仪器。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模拟组件</w:t>
      </w:r>
      <w:r>
        <w:rPr>
          <w:rFonts w:ascii="Times New Roman" w:hAnsi="Times New Roman" w:eastAsia="宋体"/>
        </w:rPr>
        <w:t>：netns 验收使用 UDP 替代真实空口，覆盖流程逻辑但不覆盖射频行为。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重复次数和统计外推</w:t>
      </w:r>
      <w:r>
        <w:rPr>
          <w:rFonts w:ascii="Times New Roman" w:hAnsi="Times New Roman" w:eastAsia="宋体"/>
        </w:rPr>
        <w:t>：MCS 实验采用约 3 设置 × 5–10 重复，统计口径为中位数/IQR；结果不支持大样本推断或跨环境泛化。</w:t>
      </w:r>
    </w:p>
    <w:p>
      <w:pPr>
        <w:pStyle w:val="Normal"/>
        <w:ind w:left="420" w:right="0" w:hanging="220"/>
        <w:spacing w:after="100" w:line="320" w:lineRule="auto"/>
      </w:pPr>
      <w:r>
        <w:rPr>
          <w:rFonts w:ascii="Times New Roman" w:hAnsi="Times New Roman" w:eastAsia="宋体"/>
        </w:rPr>
        <w:t xml:space="preserve">• </w:t>
      </w:r>
      <w:r>
        <w:rPr>
          <w:rFonts w:ascii="Times New Roman" w:hAnsi="Times New Roman" w:eastAsia="宋体"/>
          <w:b/>
          <w:bCs/>
        </w:rPr>
        <w:t>算法收益</w:t>
      </w:r>
      <w:r>
        <w:rPr>
          <w:rFonts w:ascii="Times New Roman" w:hAnsi="Times New Roman" w:eastAsia="宋体"/>
        </w:rPr>
        <w:t>：本文不声称特定 MCS 设置导致模型准确率提升；wall-clock 进度差异源自链路和系统时间差异，不应解释为算法收敛规律改变。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局限到开放路径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每项当前局限连接一条具体的解除路径：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1. </w:t>
      </w:r>
      <w:r>
        <w:rPr>
          <w:rFonts w:ascii="Times New Roman" w:hAnsi="Times New Roman" w:eastAsia="宋体"/>
          <w:b/>
          <w:bCs/>
        </w:rPr>
        <w:t>硬件与频段覆盖有限</w:t>
      </w:r>
      <w:r>
        <w:rPr>
          <w:rFonts w:ascii="Times New Roman" w:hAnsi="Times New Roman" w:eastAsia="宋体"/>
        </w:rPr>
        <w:t xml:space="preserve"> → 扩展到更多 802.11 硬件型号、驱动和频段（如 5 GHz 不同信道、6 GHz），建立跨设备可重复性基线。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2. </w:t>
      </w:r>
      <w:r>
        <w:rPr>
          <w:rFonts w:ascii="Times New Roman" w:hAnsi="Times New Roman" w:eastAsia="宋体"/>
          <w:b/>
          <w:bCs/>
        </w:rPr>
        <w:t>观测面单一</w:t>
      </w:r>
      <w:r>
        <w:rPr>
          <w:rFonts w:ascii="Times New Roman" w:hAnsi="Times New Roman" w:eastAsia="宋体"/>
        </w:rPr>
        <w:t xml:space="preserve"> → 增强跨层采集能力：除 RX_ANT 帧级日志外，引入结构化的链路层/Transport/Runtime 事件时间线，使实验数据从日志文本升级为可查询的结构化记录。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3. </w:t>
      </w:r>
      <w:r>
        <w:rPr>
          <w:rFonts w:ascii="Times New Roman" w:hAnsi="Times New Roman" w:eastAsia="宋体"/>
          <w:b/>
          <w:bCs/>
        </w:rPr>
        <w:t>重复实验为手动编排</w:t>
      </w:r>
      <w:r>
        <w:rPr>
          <w:rFonts w:ascii="Times New Roman" w:hAnsi="Times New Roman" w:eastAsia="宋体"/>
        </w:rPr>
        <w:t xml:space="preserve"> → 建立 CI 化的重复实验流程：脚本化循环运行、结构化结果归档和统计汇总，降低可复现性门槛。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4. </w:t>
      </w:r>
      <w:r>
        <w:rPr>
          <w:rFonts w:ascii="Times New Roman" w:hAnsi="Times New Roman" w:eastAsia="宋体"/>
          <w:b/>
          <w:bCs/>
        </w:rPr>
        <w:t>统计方法有限</w:t>
      </w:r>
      <w:r>
        <w:rPr>
          <w:rFonts w:ascii="Times New Roman" w:hAnsi="Times New Roman" w:eastAsia="宋体"/>
        </w:rPr>
        <w:t xml:space="preserve"> → 引入更完善的实验设计和统计方法：更多重复次数、交叉验证、环境变化测试和更严格的统计检验。</w:t>
      </w:r>
    </w:p>
    <w:p>
      <w:pPr>
        <w:pStyle w:val="Normal"/>
        <w:ind w:left="420" w:right="0" w:hanging="420"/>
        <w:spacing w:after="100" w:line="320" w:lineRule="auto"/>
      </w:pPr>
      <w:r>
        <w:rPr>
          <w:rFonts w:ascii="Times New Roman" w:hAnsi="Times New Roman" w:eastAsia="宋体"/>
          <w:b/>
          <w:bCs/>
        </w:rPr>
        <w:t xml:space="preserve">5. </w:t>
      </w:r>
      <w:r>
        <w:rPr>
          <w:rFonts w:ascii="Times New Roman" w:hAnsi="Times New Roman" w:eastAsia="宋体"/>
          <w:b/>
          <w:bCs/>
        </w:rPr>
        <w:t>发射功率不可控</w:t>
      </w:r>
      <w:r>
        <w:rPr>
          <w:rFonts w:ascii="Times New Roman" w:hAnsi="Times New Roman" w:eastAsia="宋体"/>
        </w:rPr>
        <w:t xml:space="preserve"> → 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是投稿前置依赖。在系统侧补充 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旋钮的显式配置、记录和正式资格数据后，发射功率才能从投稿阻塞项升级为已验证的可编程能力。这不是普通的未来方向。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关于 txpower</w:t>
      </w:r>
      <w:r>
        <w:rPr>
          <w:rFonts w:ascii="Times New Roman" w:hAnsi="Times New Roman" w:eastAsia="宋体"/>
        </w:rPr>
        <w:t>：按地图裁决，</w:t>
      </w:r>
      <w:r>
        <w:rPr>
          <w:rFonts w:ascii="Consolas" w:hAnsi="Consolas" w:eastAsia="等线"/>
          <w:shd w:fill="F1F1F1"/>
        </w:rPr>
        <w:t>txpower</w:t>
      </w:r>
      <w:r>
        <w:rPr>
          <w:rFonts w:ascii="Times New Roman" w:hAnsi="Times New Roman" w:eastAsia="宋体"/>
        </w:rPr>
        <w:t xml:space="preserve"> 在投稿前须先补系统实现。如果投稿时仍未完成，它不能被包装成普通开放挑战或未来工作，而是投稿阻塞项。</w:t>
      </w:r>
    </w:p>
    <w:p>
      <w:pPr>
        <w:pStyle w:val="Heading2"/>
        <w:spacing w:before="300" w:after="120"/>
        <w:keepNext/>
      </w:pPr>
      <w:r>
        <w:rPr>
          <w:rFonts w:ascii="Times New Roman" w:hAnsi="Times New Roman" w:eastAsia="宋体"/>
        </w:rPr>
        <w:t>结论回声</w:t>
      </w:r>
    </w:p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  <w:b/>
          <w:bCs/>
        </w:rPr>
        <w:t>待正式实验后定稿</w:t>
      </w:r>
      <w:r>
        <w:rPr>
          <w:rFonts w:ascii="Times New Roman" w:hAnsi="Times New Roman" w:eastAsia="宋体"/>
        </w:rPr>
        <w:t>：以下为骨架。</w:t>
      </w:r>
    </w:p>
    <w:p>
      <w:pPr>
        <w:pStyle w:val="Normal"/>
        <w:spacing w:after="120" w:line="320" w:lineRule="auto"/>
      </w:pPr>
      <w:r>
        <w:rPr>
          <w:rFonts w:ascii="Times New Roman" w:hAnsi="Times New Roman" w:eastAsia="宋体"/>
        </w:rPr>
        <w:t>本文展示了一种基于现成 802.11 硬件的跨层联邦学习 testbed，旨在把真实无线链路从 FL 抽象层下面拿出来，做成可控制、可测量、可重复的实验载体。[待正式实验成立后，此句改为完成态。] 我们期望这一 testbed 能为无线 FL 研究提供一个可重复的实验基础，使无线条件从不可见的噪声来源转变为显式的研究变量。</w:t>
      </w:r>
    </w:p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图表汇总（工作版含 T0 文献表）</w:t>
      </w:r>
    </w:p>
    <w:tbl>
      <w:tblPr>
        <w:tblW w:w="9026" w:type="dxa"/>
        <w:tblLayout w:type="fixed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顺序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图表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所在节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唯一论证职责</w:t>
            </w:r>
          </w:p>
        </w:tc>
        <w:tc>
          <w:tcPr>
            <w:tcW w:w="1504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明确不能证明</w:t>
            </w:r>
          </w:p>
        </w:tc>
        <w:tc>
          <w:tcPr>
            <w:tcW w:w="1506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  <w:b/>
              </w:rPr>
              <w:t>状态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1（工作版）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T0 三篇 Magazine 研究载体比较表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用真实文献锚定仿真、异构无线/边缘、SDR/蜂窝三类载体的取舍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不证明本平台性能、FL 算法收益或三类载体的普遍能力上限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本轮新增；投稿版须纳入 6 个图表预算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2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F1 静态跨层架构与抽象差异图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系统是什么、隐藏的无线链路在哪里、本系统暴露哪些控制/观测点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不证明能力生效、完整轮次时序或可重复性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待制作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3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F2 轮次时序与契约不变式图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4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正常路径、故障分叉、不变式和三层验证边界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不展示测试通过率或性能结果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待制作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4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F3 实验平台与测量拓扑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 开篇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实验在哪里、真实/模拟边界和数据怎样采集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不是真实性、能力或性能结果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待实验确定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T1 正式能力结果矩阵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 资格确认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每个宣称旋钮的正式配置、实际观测、成功次数和适用边界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不接受 CLI 冒烟或设计语义作为结果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待实验回填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6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F4 MCS 重复实验结果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 RQ1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配置到 RX/链路差异的正式重复分布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不证明一般化性能或最终准确率收益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待实验回填</w:t>
            </w:r>
          </w:p>
        </w:tc>
      </w:tr>
      <w:tr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7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F5 端到端 FL 轮次结果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5 RQ2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链路行为到文件交付、收齐、round latency 和 wall-clock 进度的证据链</w:t>
            </w:r>
          </w:p>
        </w:tc>
        <w:tc>
          <w:tcPr>
            <w:tcW w:w="1504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不证明算法收益、按轮次收敛改变或优于技术对手</w:t>
            </w:r>
          </w:p>
        </w:tc>
        <w:tc>
          <w:tcPr>
            <w:tcW w:w="1506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>待实验回填</w:t>
            </w:r>
          </w:p>
        </w:tc>
      </w:tr>
    </w:tbl>
    <w:p>
      <w:pPr>
        <w:pStyle w:val="Heading1"/>
        <w:spacing w:before="300" w:after="120"/>
        <w:keepNext/>
      </w:pPr>
      <w:r>
        <w:rPr>
          <w:rFonts w:ascii="Times New Roman" w:hAnsi="Times New Roman" w:eastAsia="宋体"/>
        </w:rPr>
        <w:t>引用预算分配（约 15 篇）</w:t>
      </w:r>
    </w:p>
    <w:tbl>
      <w:tblPr>
        <w:tblW w:w="9026" w:type="dxa"/>
        <w:tblLayout w:type="fixed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008"/>
        <w:gridCol w:w="3008"/>
        <w:gridCol w:w="3010"/>
      </w:tblGrid>
      <w:tr>
        <w:tc>
          <w:tcPr>
            <w:tcW w:w="3008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组</w:t>
            </w:r>
          </w:p>
        </w:tc>
        <w:tc>
          <w:tcPr>
            <w:tcW w:w="3008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用途</w:t>
            </w:r>
          </w:p>
        </w:tc>
        <w:tc>
          <w:tcPr>
            <w:tcW w:w="3010" w:type="dxa"/>
            <w:shd w:fill="D9E2F3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  <w:b/>
              </w:rPr>
              <w:t>预算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FL 基础与无线动机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FL 概念、无线 FL 动机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载体选择事实锚点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仿真/trace、异构无线/边缘、SDR/蜂窝的事实来源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5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系统定位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Flower、FedScale、FedComm、MQTT testbed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4</w:t>
            </w:r>
          </w:p>
        </w:tc>
      </w:tr>
      <w:tr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Testbed、测量和验证方法</w:t>
            </w:r>
          </w:p>
        </w:tc>
        <w:tc>
          <w:tcPr>
            <w:tcW w:w="3008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实验方法论、统计实践</w:t>
            </w:r>
          </w:p>
        </w:tc>
        <w:tc>
          <w:tcPr>
            <w:tcW w:w="3010" w:type="dxa"/>
          </w:tcPr>
          <w:p>
            <w:pPr>
              <w:pStyle w:val="Normal"/>
              <w:spacing w:after="40" w:line="260" w:lineRule="auto"/>
            </w:pPr>
            <w:r>
              <w:rPr>
                <w:rFonts w:ascii="Times New Roman" w:hAnsi="Times New Roman" w:eastAsia="宋体"/>
                <w:sz w:val="20"/>
                <w:szCs w:val="20"/>
              </w:rPr>
              <w:t>3</w:t>
            </w:r>
          </w:p>
        </w:tc>
      </w:tr>
    </w:tbl>
    <w:p>
      <w:pPr>
        <w:pStyle w:val="Quote"/>
        <w:ind w:left="360" w:right="240"/>
        <w:spacing w:before="80" w:after="80" w:line="300" w:lineRule="auto"/>
        <w:shd w:fill="F2F2F2"/>
        <w:pBdr>
          <w:left w:val="single" w:sz="12" w:space="8" w:color="A6A6A6"/>
        </w:pBdr>
      </w:pPr>
      <w:r>
        <w:rPr>
          <w:rFonts w:ascii="Times New Roman" w:hAnsi="Times New Roman" w:eastAsia="宋体"/>
        </w:rPr>
        <w:t>T0 中的 Amadeo、Liu、Chu 三篇文章承担载体选择的技术事实，计入“载体选择事实锚点”预算；Shen、Farajzadeh 等文章仍只作为结构研究依据，不在正文中占技术引用名额。T0 是本轮轮廓的工作版表格，正式投稿版若严格执行最多 6 个图表，需在定稿时合并或压缩该表。</w:t>
      </w:r>
    </w:p>
    <w:sectPr>
      <w:footerReference w:type="default" r:id="rId2"/>
      <w:pgSz w:w="11906" w:h="16838"/>
      <w:pgMar w:top="1080" w:right="1440" w:bottom="1080" w:left="1440" w:header="360" w:footer="360" w:gutter="0"/>
      <w:cols w:num="1"/>
    </w:sectPr>
  </w:body>
</w:document>
</file>

<file path=word/footer.xml><?xml version="1.0" encoding="utf-8"?>
<w:ftr xmlns:w="http://schemas.openxmlformats.org/wordprocessingml/2006/main">
  <w:p>
    <w:pPr>
      <w:pStyle w:val="Normal"/>
      <w:spacing w:after="0"/>
      <w:jc w:val="center"/>
    </w:pPr>
    <w:r>
      <w:rPr>
        <w:sz w:val="18"/>
        <w:szCs w:val="18"/>
      </w:rPr>
    </w:r>
    <w:r>
      <w:rPr>
        <w:rFonts w:ascii="Times New Roman" w:hAnsi="Times New Roman" w:eastAsia="宋体"/>
        <w:sz w:val="18"/>
        <w:szCs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  <w:szCs w:val="18"/>
      </w:rPr>
      <w:t xml:space="preserve"> 页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  <w:szCs w:val="21"/>
      </w:rPr>
    </w:rPrDefault>
  </w:docDefaults>
  <w:style w:type="paragraph" w:default="1" w:styleId="Normal">
    <w:name w:val="Normal"/>
    <w:rPr>
      <w:rFonts w:ascii="Times New Roman" w:hAnsi="Times New Roman" w:eastAsia="宋体"/>
      <w:sz w:val="21"/>
      <w:szCs w:val="21"/>
    </w:rPr>
  </w:style>
  <w:style w:type="paragraph" w:styleId="Title">
    <w:name w:val="Title"/>
    <w:pPr>
      <w:jc w:val="center"/>
      <w:keepNext/>
    </w:pPr>
    <w:rPr>
      <w:rFonts w:ascii="Arial" w:hAnsi="Arial" w:eastAsia="黑体"/>
      <w:b/>
      <w:sz w:val="36"/>
      <w:szCs w:val="36"/>
    </w:rPr>
  </w:style>
  <w:style w:type="paragraph" w:styleId="Heading1">
    <w:name w:val="Heading1"/>
    <w:pPr>
      <w:keepNext/>
      <w:spacing w:before="360" w:after="140"/>
    </w:pPr>
    <w:rPr>
      <w:rFonts w:ascii="Arial" w:hAnsi="Arial" w:eastAsia="黑体"/>
      <w:b/>
      <w:sz w:val="28"/>
      <w:szCs w:val="28"/>
    </w:rPr>
  </w:style>
  <w:style w:type="paragraph" w:styleId="Heading2">
    <w:name w:val="Heading2"/>
    <w:pPr>
      <w:keepNext/>
      <w:spacing w:before="280" w:after="100"/>
    </w:pPr>
    <w:rPr>
      <w:rFonts w:ascii="Arial" w:hAnsi="Arial" w:eastAsia="黑体"/>
      <w:b/>
      <w:sz w:val="24"/>
      <w:szCs w:val="24"/>
    </w:rPr>
  </w:style>
  <w:style w:type="paragraph" w:styleId="Heading3">
    <w:name w:val="Heading3"/>
    <w:pPr>
      <w:keepNext/>
      <w:spacing w:before="220" w:after="80"/>
    </w:pPr>
    <w:rPr>
      <w:rFonts w:ascii="Arial" w:hAnsi="Arial" w:eastAsia="黑体"/>
      <w:b/>
      <w:sz w:val="22"/>
      <w:szCs w:val="22"/>
    </w:rPr>
  </w:style>
  <w:style w:type="paragraph" w:styleId="Quote">
    <w:name w:val="Quote"/>
    <w:rPr>
      <w:rFonts w:ascii="Times New Roman" w:hAnsi="Times New Roman" w:eastAsia="宋体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.xml"/></Relationships>
</file>