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Important Notices Important notices Database Modifications Made Outside the Application If clients modify data directly within the database or execute internal OpenLink stored procedures within the database, OpenLink will be unable to provide support, as we cannot ensure transactional integrity within the database if there are changes made beyond control of our application. The reasons for our concerns are primarily rooted in the following: a) There are serious security and audit trail problems with the practice of modifying data directly within the database. b) Managing database transactions outside of our provided APIs can cause performance problems andor bottlenecks that are impossible for OpenLink to diagnose and provide corrective updates. This practice can also lead to future data integrity problems. Should the client decide to modify the database directly: a) They should notify OpenLink (i.e., the Account Manager and Support) of any unsupported modifications b) The Support Desk will require the customer to reproduce issues in a database without any of those modifications if OpenLink feels that the unsupported change may be related to a reported issue c) Any problems caused by the change will be billable if OpenLink assists them. OpenLink provides AVS and TK as APIs into the internal business logicprocessing within the system. These APIs are tested and maintained by OpenLink. The APIs are also designed to work across code versions. If the APIs do not provide the appropriate functionality, a request for enhancement may be made to an Account Manager. The AVS function DBMAINT() should not be used to insertupdatedelete any of the application tables (e.g. ab_tran). It also should not be used to execute OpenLink stored procedures. System Messages OpenLink has developed its own messaging solution, although the Tibco solution may still be supported. The system uses this messaging bus to send messages from session to session and even intra-session. For example, a user may use the Broadcast tool to send a broadcast. That broadcast is send via the systems messaging solution. If a price is changed in the Market Manager, that price change gets sent to the Trading Manager via the systems messaging solution. The format and contents of the messages that are sent are considered proprietary to OpenLink. Customers are not entitled to documentation showing what the messages are or when they are sent. Customers should not try to capture or intercept these messages for any use, without explicit OpenLink instructions to do so. A tool that can monitor these messages, for OpenLink debugging purposes can be found in the System Monitor. See System Monitor OpenLink provides AVS and TK as APIs into the internal business logicprocessing within the system. These APIs are tested and maintained by OpenLink. The APIs are also designed to work across code versions. If the APIs do not provide the appropriate functionality, a request for enhancement may be made to an Account Manager. System Licensing Most parts of the system are controlled by Licensing. These parts are not specifically listed in this User Guide. If you read about functionality, you may not be able to access it because of licensing issues. If this happens, you can contact your Account Manager. In other words, just because functionality is mentioned in the User Guide, that does not mean a particular client is licensed to use it. Backwards Compatibly  Beta Functionality  Research Functionality Some items as described in this User Guide are included in the system for backwards compatibility and should not be used by new clients. This is a list of the items: Backwards Compatibility While we have tried to make this list complete, it may be incomplete due to items we missed. As we discover and missed items, they will be added to this list. Some items in the system are considered Beta Functionality. Clients are advised to allocate extra time for implementing these features and should consult OpenLink before attempting to do so. The list of Beta functionality is maintained in a separate document, the Known Defect Report. Some items in the system are considered Research Functionality and should not be used by any clients. The list of Research functionality is maintained in a separate document, the Known Defect Report.</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