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Instrument Types V19.0 to V22.0 Instrument Types from V19.0 to V22.0 Overview This lists the changes in instrument types from version 19.0 to version 22.0 New Instrument Types The following are the new instrument types in 22.0: Toolset Name ID Description DTS Commodity Park and Loan COMM-PAL 48031 Park and Loans (PALs) are agreements which allow shippers on natural gas pipelines in North America to either park extra gas or borrow gas from the pipeline when they are short. This module includes the following features:  Allows to capture Parking volumes on a pipeline, a Loan of volumes and tracking the balance for the Park and Loan on any given day  This module mimics the look and feel of a COMM-STOR instrument except that: o legs are called Park and Loan instead of Inj and Wth o it is only applicable for Natural Gas When the COMM-PAL is chosen, the following defaults are set:  The Sub Type field is set to No Phys Balance  The Pricing Level field is set to Location The COMM-PAL standard commodity instrument is available in version V22 and higher branches. Prior to version V22 the implementation team was creating a user defined instrument called COMM-PAL. If a client is upgrading from a branch below V22 to a branch at or above V22 and in the environment there is a user defined instrument called COMM-PAL, the application upgrade will fail. It will display an error message telling the client that they must rename their user defined instrument and re-run the upgrade. The client will be able to continue using existing deals and nominations on the user defined instrument until they are matured. All new park and loan contracts should be modeled using the standard COMM-PAL commodity instrument. Also, all existing templates, deal skins, query, reports, APM pages, scripts should be manually updated to point to the standard COMM-PAL instrument. 162027 Multileg Bond Asset Backed Security BOND-ABS-ML 9050 This enhancement introduces a Bond toolset instrument type BOND-ABS-ML Multileg Bond Asset Backed Security. This instrument type models principal prepayments like the BOND-ABS, but uses a new, generalized Prepayable leg type. Both prepayment projections and published factor fixings are supported. Prepayable legs may be chained together with contiguous, non-overlapping follow-on legs. A BOND-ABS-ML holding instrument may have an amortization style and prepayment projector, both of which carry across all follow-on legs. Follow-on legs may have different payment terms, basis, and frequency. The BOND-ABS-ML supports floating rate caps and floors, and each leg may be extended with issuer call options. Market facing calculations for trades in BOND-ABS-ML may include yield, discount margin, or trading margin based on varying termination dates. These are configured in the Yield To parameter of the Bond holding instrument as yield to Maturity, Next Leg, or WAL. Also, the instrument supports floating rate legs for the yield convention Benchmark Composite. In this case, Yield is simply the sum of the Discount Margin and Assumed Rate of the benchmark index. The BOND-ABS-ML allows price type to be configured as Indexed, rather than using the Yield Calc Method Standard Amortize to drive price quote convention. The existing BOND-ABS (and BOND-ABS-S) instrument type is still supported and minimally changed. a) BOND-ABS-ML supports step-ups, but differently (as a follow-on leg) b) BOND-ABS-ML does not yet support the Default projection features of BOND-ABS c) Prepayment Curve Construction extensions are supported for both instrument types with an appropriate license. OpenJVS API Change for TransactionsInstruments): In V22_0, we introduced a change to manage the ownership of the created underlying memory in the core code. The following description is directed towards OpenJVS developers. The main issue seems to lie around Transaction.getTranFromIns() and Transaction.getInsFromTran(). The object that should be disposed is the original object. For example, if you perform an Instrument ins  Instrument.retrieve(), ins.dispose() should be called when the object is no longer needed. If Transaction tran  Transaction.getTranFromIns(ins) is called after the Instrument is created, the Instrument still owns the memory, and the Transaction is just an accessor object, and the call to tran.dispose() will have no effect. One of the implementations that causes issues is to do something similar to Transaction tran  Transaction.getTranFromIns(Instrument.retrieve(insNum));. In essence, what happens here is the retrieved Instrument owns the memory (not the Transaction) and goes instantly out of scope (anonymous declaration). This means that it can be garbage collected at any point thereafter and may result in an application error when manipulatingaccessing methods on the Transaction as the underlying memory has been freed. This can happen in the inverse scenario, as well: Instrument ins  Transaction.retrieve(tranNum).getInsFromTran(), though this seems to happen far less often. To aid developers in these scenarios, we created methods to provide better control of the memory management: Transaction tran  Transaction.getTranFromInsChangeOwner(ins) and Instrument ins  Transaction.getInsFromTranChangeOwner(tran). In both cases, the passed in argument will give up its memory ownership and pass it to the returned object. This returned object can then be disposed as before. Also, we added Transaction retrieval methods using an Instrument Number to reduce multiple method calls. The methods are Transaction.retrieveFromInsNum(insNum) and Transaction.retrieveCopyFromInsNum(insNum). Both scenarios return a disposable Transaction with the same logic of Transaction tran  Transaction.getTranFromInsChangeOwner(Instrument.retrieve(insNum)) Finally, as part of this effort, we have logged messages to the OConsole output when an object is disposed during the finalize() method. In essence, this is saying that the object held on to resources that object has gone out of scope. While this memory is not leaked, it will only be released at some future undetermined time (for example, when the garbage collector decides to run). To aid in determining which object was not properly disposed, the Stack Trace of when the object was created can be added to the message by turning the General Debug Type to Low. 157079 Changes in the Instrument Types The following are the changes to instrument types from 19.0 to 22.0: None Removed Instrument Types The following are the instrument types removed in V22.0: None</w:t>
      </w:r>
    </w:p>
    <w:p/>
    <w:p/>
    <w:p>
      <w:r>
        <w:t>[Table]</w:t>
        <w:br/>
        <w:t>| Toolset | Name | ID | Description | DTS |</w:t>
        <w:br/>
        <w:t>| --- | --- | --- | --- | --- |</w:t>
        <w:br/>
        <w:t xml:space="preserve">| Commodity Park and Loan | COMM-PAL | 48031 | Park </w:t>
        <w:br/>
        <w:tab/>
        <w:tab/>
        <w:t xml:space="preserve"> and Loans (PALs) are agreements which allow shippers on natural </w:t>
        <w:br/>
        <w:tab/>
        <w:tab/>
        <w:t xml:space="preserve"> gas pipelines in North America to either park extra gas or borrow </w:t>
        <w:br/>
        <w:tab/>
        <w:tab/>
        <w:t xml:space="preserve"> gas from the pipeline when they are short.This module includes the following features:• Allows to capture Parking volumes on a pipeline, a Loan of </w:t>
        <w:br/>
        <w:tab/>
        <w:tab/>
        <w:t xml:space="preserve"> volumes and tracking the balance for the Park and Loan on any </w:t>
        <w:br/>
        <w:tab/>
        <w:tab/>
        <w:t xml:space="preserve"> given day• This module mimics the look and feel of a COMM-STOR instrument </w:t>
        <w:br/>
        <w:tab/>
        <w:tab/>
        <w:t xml:space="preserve"> except that:o legs are called Park and Loan instead of Inj and Wtho it is only applicable for Natural GasWhen the COMM-PAL is chosen, the following defaults are set:• The Sub Type field is set to “No Phys Balance”• The Pricing Level field is set to “Location”The COMM-PAL standard commodity instrument is available in version </w:t>
        <w:br/>
        <w:tab/>
        <w:tab/>
        <w:t xml:space="preserve"> V22 and higher branches. Prior to version V22 the implementation </w:t>
        <w:br/>
        <w:tab/>
        <w:tab/>
        <w:t xml:space="preserve"> team was creating a user defined instrument called COMM-PAL. If </w:t>
        <w:br/>
        <w:tab/>
        <w:tab/>
        <w:t xml:space="preserve"> a client is upgrading from a branch below V22 to a branch at or </w:t>
        <w:br/>
        <w:tab/>
        <w:tab/>
        <w:t xml:space="preserve"> above V22 and in the environment there is a user defined instrument </w:t>
        <w:br/>
        <w:tab/>
        <w:tab/>
        <w:t xml:space="preserve"> called COMM-PAL, the application upgrade will fail. It will display </w:t>
        <w:br/>
        <w:tab/>
        <w:tab/>
        <w:t xml:space="preserve"> an error message telling the client that they must rename their </w:t>
        <w:br/>
        <w:tab/>
        <w:tab/>
        <w:t xml:space="preserve"> user defined instrument and re-run the upgrade. The client will </w:t>
        <w:br/>
        <w:tab/>
        <w:tab/>
        <w:t xml:space="preserve"> be able to continue using existing deals and nominations on the </w:t>
        <w:br/>
        <w:tab/>
        <w:tab/>
        <w:t xml:space="preserve"> user defined instrument until they are matured. All new park and </w:t>
        <w:br/>
        <w:tab/>
        <w:tab/>
        <w:t xml:space="preserve"> loan contracts should be modeled using the standard COMM-PAL commodity </w:t>
        <w:br/>
        <w:tab/>
        <w:tab/>
        <w:t xml:space="preserve"> instrument. Also, all existing templates, deal skins, query, reports, </w:t>
        <w:br/>
        <w:tab/>
        <w:tab/>
        <w:t xml:space="preserve"> APM pages, scripts should be manually updated to point to the </w:t>
        <w:br/>
        <w:tab/>
        <w:tab/>
        <w:t xml:space="preserve"> standard COMM-PAL instrument. | 162027 |</w:t>
        <w:br/>
        <w:t xml:space="preserve">| Multileg Bond Asset Backed </w:t>
        <w:br/>
        <w:tab/>
        <w:tab/>
        <w:t xml:space="preserve"> Security | BOND-ABS-ML | 9050 | This </w:t>
        <w:br/>
        <w:tab/>
        <w:tab/>
        <w:t xml:space="preserve"> enhancement introduces a Bond toolset instrument type BOND-ABS-ML </w:t>
        <w:br/>
        <w:tab/>
        <w:tab/>
        <w:t xml:space="preserve"> "Multileg Bond Asset Backed Security". This instrument </w:t>
        <w:br/>
        <w:tab/>
        <w:tab/>
        <w:t xml:space="preserve"> type models principal prepayments like the BOND-ABS, but uses </w:t>
        <w:br/>
        <w:tab/>
        <w:tab/>
        <w:t xml:space="preserve"> a new, generalized Prepayable leg type. Both prepayment projections </w:t>
        <w:br/>
        <w:tab/>
        <w:tab/>
        <w:t xml:space="preserve"> and published factor fixings are supported. Prepayable legs may </w:t>
        <w:br/>
        <w:tab/>
        <w:tab/>
        <w:t xml:space="preserve"> be chained together with contiguous, non-overlapping follow-on </w:t>
        <w:br/>
        <w:tab/>
        <w:tab/>
        <w:t xml:space="preserve"> legs. A BOND-ABS-ML holding instrument may have an amortization </w:t>
        <w:br/>
        <w:tab/>
        <w:tab/>
        <w:t xml:space="preserve"> style and prepayment projector, both of which carry across all </w:t>
        <w:br/>
        <w:tab/>
        <w:tab/>
        <w:t xml:space="preserve"> follow-on legs. Follow-on legs may have different payment terms, </w:t>
        <w:br/>
        <w:tab/>
        <w:tab/>
        <w:t xml:space="preserve"> basis, and frequency. The BOND-ABS-ML supports floating rate caps </w:t>
        <w:br/>
        <w:tab/>
        <w:tab/>
        <w:t xml:space="preserve"> and floors, and each leg may be extended with issuer call options. </w:t>
        <w:br/>
        <w:tab/>
        <w:tab/>
        <w:t xml:space="preserve"> Market facing calculations for trades in BOND-ABS-ML may include </w:t>
        <w:br/>
        <w:tab/>
        <w:tab/>
        <w:t xml:space="preserve"> yield, discount margin, or trading margin based on varying termination </w:t>
        <w:br/>
        <w:tab/>
        <w:tab/>
        <w:t xml:space="preserve"> dates. These are configured in the Yield To parameter of the Bond </w:t>
        <w:br/>
        <w:tab/>
        <w:tab/>
        <w:t xml:space="preserve"> holding instrument as yield to Maturity, Next Leg, or WAL. Also, </w:t>
        <w:br/>
        <w:tab/>
        <w:tab/>
        <w:t xml:space="preserve"> the instrument supports floating rate legs for the yield convention </w:t>
        <w:br/>
        <w:tab/>
        <w:tab/>
        <w:t xml:space="preserve"> Benchmark Composite. In this case, Yield is simply the sum of </w:t>
        <w:br/>
        <w:tab/>
        <w:tab/>
        <w:t xml:space="preserve"> the Discount Margin and Assumed Rate of the benchmark index. The </w:t>
        <w:br/>
        <w:tab/>
        <w:tab/>
        <w:t xml:space="preserve"> BOND-ABS-ML allows price type to be configured as Indexed, rather </w:t>
        <w:br/>
        <w:tab/>
        <w:tab/>
        <w:t xml:space="preserve"> than using the Yield Calc Method "Standard Amortize" </w:t>
        <w:br/>
        <w:tab/>
        <w:tab/>
        <w:t xml:space="preserve"> to drive price quote convention. The existing BOND-ABS (and BOND-ABS-S) </w:t>
        <w:br/>
        <w:tab/>
        <w:tab/>
        <w:t xml:space="preserve"> instrument type is still supported and minimally changed.a) BOND-ABS-ML supports step-ups, but differently (as a follow-on </w:t>
        <w:br/>
        <w:tab/>
        <w:tab/>
        <w:t xml:space="preserve"> leg)b) BOND-ABS-ML does not yet support the Default projection features </w:t>
        <w:br/>
        <w:tab/>
        <w:tab/>
        <w:t xml:space="preserve"> of BOND-ABSc) Prepayment Curve Construction extensions are supported for </w:t>
        <w:br/>
        <w:tab/>
        <w:tab/>
        <w:t xml:space="preserve"> both instrument types with an appropriate license.OpenJVS API Change for Transactions/Instruments): In V22_0, </w:t>
        <w:br/>
        <w:tab/>
        <w:tab/>
        <w:t xml:space="preserve"> we introduced a change to manage the ownership of the created </w:t>
        <w:br/>
        <w:tab/>
        <w:tab/>
        <w:t xml:space="preserve"> underlying memory in the core code. The following description </w:t>
        <w:br/>
        <w:tab/>
        <w:tab/>
        <w:t xml:space="preserve"> is directed towards OpenJVS developers.The main issue seems to lie around `Transaction.getTranFromIns()` </w:t>
        <w:br/>
        <w:tab/>
        <w:tab/>
        <w:t xml:space="preserve"> and `Transaction.getInsFromTran()`. The object that should be </w:t>
        <w:br/>
        <w:tab/>
        <w:tab/>
        <w:t xml:space="preserve"> disposed is the "original" object. For example, if you </w:t>
        <w:br/>
        <w:tab/>
        <w:tab/>
        <w:t xml:space="preserve"> perform an `Instrument ins = Instrument.retrieve()`, `ins.dispose()` </w:t>
        <w:br/>
        <w:tab/>
        <w:tab/>
        <w:t xml:space="preserve"> should be called when the object is no longer needed. If `Transaction </w:t>
        <w:br/>
        <w:tab/>
        <w:tab/>
        <w:t xml:space="preserve"> tran = Transaction.getTranFromIns(ins)` is called after the Instrument </w:t>
        <w:br/>
        <w:tab/>
        <w:tab/>
        <w:t xml:space="preserve"> is created, the Instrument still owns the memory, and the Transaction </w:t>
        <w:br/>
        <w:tab/>
        <w:tab/>
        <w:t xml:space="preserve"> is just an accessor object, and the call to `tran.dispose()` will </w:t>
        <w:br/>
        <w:tab/>
        <w:tab/>
        <w:t xml:space="preserve"> have no effect.One of the implementations that causes issues is to do something </w:t>
        <w:br/>
        <w:tab/>
        <w:tab/>
        <w:t xml:space="preserve"> similar to `Transaction tran = Transaction.getTranFromIns(Instrument.retrieve(insNum));`. </w:t>
        <w:br/>
        <w:tab/>
        <w:tab/>
        <w:t xml:space="preserve"> In essence, what happens here is the retrieved Instrument owns </w:t>
        <w:br/>
        <w:tab/>
        <w:tab/>
        <w:t xml:space="preserve"> the memory (not the Transaction) and goes instantly out of scope </w:t>
        <w:br/>
        <w:tab/>
        <w:tab/>
        <w:t xml:space="preserve"> (anonymous declaration). This means that it can be garbage collected </w:t>
        <w:br/>
        <w:tab/>
        <w:tab/>
        <w:t xml:space="preserve"> at any point thereafter and may result in an application error </w:t>
        <w:br/>
        <w:tab/>
        <w:tab/>
        <w:t xml:space="preserve"> when manipulating/accessing methods on the Transaction as the </w:t>
        <w:br/>
        <w:tab/>
        <w:tab/>
        <w:t xml:space="preserve"> underlying memory has been freed. This can happen in the inverse </w:t>
        <w:br/>
        <w:tab/>
        <w:tab/>
        <w:t xml:space="preserve"> scenario, as well: `Instrument ins = Transaction.retrieve(tranNum).getInsFromTran()`, </w:t>
        <w:br/>
        <w:tab/>
        <w:tab/>
        <w:t xml:space="preserve"> though this seems to happen far less often.To aid developers in these scenarios, we created methods to </w:t>
        <w:br/>
        <w:tab/>
        <w:tab/>
        <w:t xml:space="preserve"> provide better control of the memory management: `Transaction </w:t>
        <w:br/>
        <w:tab/>
        <w:tab/>
        <w:t xml:space="preserve"> tran = Transaction.getTranFromInsChangeOwner(ins)` and `Instrument </w:t>
        <w:br/>
        <w:tab/>
        <w:tab/>
        <w:t xml:space="preserve"> ins = Transaction.getInsFromTranChangeOwner(tran)`. In both cases, </w:t>
        <w:br/>
        <w:tab/>
        <w:tab/>
        <w:t xml:space="preserve"> the passed in argument will give up its memory ownership and pass </w:t>
        <w:br/>
        <w:tab/>
        <w:tab/>
        <w:t xml:space="preserve"> it to the returned object. This returned object can then be disposed </w:t>
        <w:br/>
        <w:tab/>
        <w:tab/>
        <w:t xml:space="preserve"> as before.Also, we added Transaction retrieval methods using an Instrument </w:t>
        <w:br/>
        <w:tab/>
        <w:tab/>
        <w:t xml:space="preserve"> Number to reduce multiple method calls. The methods are `Transaction.retrieveFromInsNum(insNum)` </w:t>
        <w:br/>
        <w:tab/>
        <w:tab/>
        <w:t xml:space="preserve"> and `Transaction.retrieveCopyFromInsNum(insNum)`. Both scenarios </w:t>
        <w:br/>
        <w:tab/>
        <w:tab/>
        <w:t xml:space="preserve"> return a disposable Transaction with the same logic of `Transaction </w:t>
        <w:br/>
        <w:tab/>
        <w:tab/>
        <w:t xml:space="preserve"> tran = Transaction.getTranFromInsChangeOwner(Instrument.retrieve(insNum))`Finally, as part of this effort, we have logged messages to </w:t>
        <w:br/>
        <w:tab/>
        <w:tab/>
        <w:t xml:space="preserve"> the OConsole output when an object is disposed during the `finalize()` </w:t>
        <w:br/>
        <w:tab/>
        <w:tab/>
        <w:t xml:space="preserve"> method. In essence, this is saying that the object held on to </w:t>
        <w:br/>
        <w:tab/>
        <w:tab/>
        <w:t xml:space="preserve"> resources that object has gone out of scope. While this memory </w:t>
        <w:br/>
        <w:tab/>
        <w:tab/>
        <w:t xml:space="preserve"> is not "leaked", it will only be released at some future </w:t>
        <w:br/>
        <w:tab/>
        <w:tab/>
        <w:t xml:space="preserve"> undetermined time (for example, when the garbage collector decides </w:t>
        <w:br/>
        <w:tab/>
        <w:tab/>
        <w:t xml:space="preserve"> to run). To aid in determining which object was not properly disposed, </w:t>
        <w:br/>
        <w:tab/>
        <w:tab/>
        <w:t xml:space="preserve"> the Stack Trace of when the object was created can be added to </w:t>
        <w:br/>
        <w:tab/>
        <w:tab/>
        <w:t xml:space="preserve"> the message by turning the "General" Debug Type to "Low". | 157079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