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EC3C" w14:textId="77777777" w:rsidR="002E4BE6" w:rsidRPr="002E4BE6" w:rsidRDefault="002E4BE6" w:rsidP="002E4BE6">
      <w:pPr>
        <w:pStyle w:val="Heading1"/>
        <w:rPr>
          <w:rFonts w:ascii="Lato Light" w:hAnsi="Lato Light"/>
          <w:sz w:val="22"/>
          <w:szCs w:val="22"/>
        </w:rPr>
      </w:pPr>
      <w:r w:rsidRPr="002E4BE6">
        <w:rPr>
          <w:rFonts w:ascii="Lato Light" w:hAnsi="Lato Light"/>
          <w:sz w:val="22"/>
          <w:szCs w:val="22"/>
        </w:rPr>
        <w:t>HCPCS Procedure Codes – UnitedHealthcare Kentucky NEMT</w:t>
      </w:r>
    </w:p>
    <w:p w14:paraId="1B60C811" w14:textId="77777777" w:rsidR="00FD1D2E" w:rsidRPr="002E4BE6" w:rsidRDefault="00FD1D2E" w:rsidP="002E4BE6">
      <w:pPr>
        <w:rPr>
          <w:rFonts w:ascii="Lato Light" w:hAnsi="Lato Light"/>
        </w:rPr>
      </w:pPr>
    </w:p>
    <w:p w14:paraId="67E1E8BC" w14:textId="77777777" w:rsidR="002E4BE6" w:rsidRPr="002E4BE6" w:rsidRDefault="002E4BE6" w:rsidP="002E4BE6">
      <w:pPr>
        <w:pStyle w:val="Heading2"/>
        <w:rPr>
          <w:rFonts w:ascii="Lato Light" w:hAnsi="Lato Light"/>
          <w:sz w:val="22"/>
          <w:szCs w:val="22"/>
        </w:rPr>
      </w:pPr>
      <w:r w:rsidRPr="002E4BE6">
        <w:rPr>
          <w:rFonts w:ascii="Lato Light" w:hAnsi="Lato Light"/>
          <w:sz w:val="22"/>
          <w:szCs w:val="22"/>
        </w:rPr>
        <w:t>Kaizen Health Recommended Codes for UnitedHealthcare Kentucky</w:t>
      </w:r>
    </w:p>
    <w:p w14:paraId="60AA74F2" w14:textId="77777777" w:rsidR="002E4BE6" w:rsidRPr="002E4BE6" w:rsidRDefault="002E4BE6" w:rsidP="002E4BE6">
      <w:pPr>
        <w:rPr>
          <w:rFonts w:ascii="Lato Light" w:hAnsi="Lato Light"/>
        </w:rPr>
      </w:pPr>
      <w:r w:rsidRPr="002E4BE6">
        <w:rPr>
          <w:rFonts w:ascii="Lato Light" w:hAnsi="Lato Light"/>
        </w:rPr>
        <w:t>Based on Kaizen’s delegated scope, the following HCPCS codes are recommended for configuration under the contract:</w:t>
      </w:r>
    </w:p>
    <w:p w14:paraId="06556366" w14:textId="77777777" w:rsidR="002E4BE6" w:rsidRPr="002E4BE6" w:rsidRDefault="002E4BE6" w:rsidP="002E4BE6">
      <w:pPr>
        <w:pStyle w:val="ListBullet"/>
        <w:tabs>
          <w:tab w:val="num" w:pos="360"/>
        </w:tabs>
        <w:ind w:left="360" w:hanging="360"/>
        <w:rPr>
          <w:rFonts w:ascii="Lato Light" w:hAnsi="Lato Light"/>
        </w:rPr>
      </w:pPr>
      <w:r w:rsidRPr="002E4BE6">
        <w:rPr>
          <w:rFonts w:ascii="Lato Light" w:hAnsi="Lato Light"/>
        </w:rPr>
        <w:t>A0100</w:t>
      </w:r>
    </w:p>
    <w:p w14:paraId="14D300B9" w14:textId="77777777" w:rsidR="002E4BE6" w:rsidRPr="002E4BE6" w:rsidRDefault="002E4BE6" w:rsidP="002E4BE6">
      <w:pPr>
        <w:pStyle w:val="ListBullet"/>
        <w:tabs>
          <w:tab w:val="num" w:pos="360"/>
        </w:tabs>
        <w:ind w:left="360" w:hanging="360"/>
        <w:rPr>
          <w:rFonts w:ascii="Lato Light" w:hAnsi="Lato Light"/>
        </w:rPr>
      </w:pPr>
      <w:r w:rsidRPr="002E4BE6">
        <w:rPr>
          <w:rFonts w:ascii="Lato Light" w:hAnsi="Lato Light"/>
        </w:rPr>
        <w:t>A0120</w:t>
      </w:r>
    </w:p>
    <w:p w14:paraId="7DCF6350" w14:textId="77777777" w:rsidR="002E4BE6" w:rsidRPr="002E4BE6" w:rsidRDefault="002E4BE6" w:rsidP="002E4BE6">
      <w:pPr>
        <w:pStyle w:val="ListBullet"/>
        <w:tabs>
          <w:tab w:val="num" w:pos="360"/>
        </w:tabs>
        <w:ind w:left="360" w:hanging="360"/>
        <w:rPr>
          <w:rFonts w:ascii="Lato Light" w:hAnsi="Lato Light"/>
        </w:rPr>
      </w:pPr>
      <w:r w:rsidRPr="002E4BE6">
        <w:rPr>
          <w:rFonts w:ascii="Lato Light" w:hAnsi="Lato Light"/>
        </w:rPr>
        <w:t>A0130</w:t>
      </w:r>
    </w:p>
    <w:p w14:paraId="1821F76A" w14:textId="77777777" w:rsidR="002E4BE6" w:rsidRPr="002E4BE6" w:rsidRDefault="002E4BE6" w:rsidP="002E4BE6">
      <w:pPr>
        <w:pStyle w:val="ListBullet"/>
        <w:tabs>
          <w:tab w:val="num" w:pos="360"/>
        </w:tabs>
        <w:ind w:left="360" w:hanging="360"/>
        <w:rPr>
          <w:rFonts w:ascii="Lato Light" w:hAnsi="Lato Light"/>
        </w:rPr>
      </w:pPr>
      <w:r w:rsidRPr="002E4BE6">
        <w:rPr>
          <w:rFonts w:ascii="Lato Light" w:hAnsi="Lato Light"/>
        </w:rPr>
        <w:t>A0200</w:t>
      </w:r>
    </w:p>
    <w:p w14:paraId="6A1D6104" w14:textId="77777777" w:rsidR="002E4BE6" w:rsidRPr="002E4BE6" w:rsidRDefault="002E4BE6" w:rsidP="002E4BE6">
      <w:pPr>
        <w:pStyle w:val="ListBullet"/>
        <w:tabs>
          <w:tab w:val="num" w:pos="360"/>
        </w:tabs>
        <w:ind w:left="360" w:hanging="360"/>
        <w:rPr>
          <w:rFonts w:ascii="Lato Light" w:hAnsi="Lato Light"/>
        </w:rPr>
      </w:pPr>
      <w:r w:rsidRPr="002E4BE6">
        <w:rPr>
          <w:rFonts w:ascii="Lato Light" w:hAnsi="Lato Light"/>
        </w:rPr>
        <w:t>T2003</w:t>
      </w:r>
    </w:p>
    <w:p w14:paraId="041FC98C" w14:textId="77777777" w:rsidR="002E4BE6" w:rsidRPr="002E4BE6" w:rsidRDefault="002E4BE6" w:rsidP="002E4BE6">
      <w:pPr>
        <w:pStyle w:val="ListBullet"/>
        <w:tabs>
          <w:tab w:val="num" w:pos="360"/>
        </w:tabs>
        <w:ind w:left="360" w:hanging="360"/>
        <w:rPr>
          <w:rFonts w:ascii="Lato Light" w:hAnsi="Lato Light"/>
        </w:rPr>
      </w:pPr>
      <w:r w:rsidRPr="002E4BE6">
        <w:rPr>
          <w:rFonts w:ascii="Lato Light" w:hAnsi="Lato Light"/>
        </w:rPr>
        <w:t>T2005</w:t>
      </w:r>
    </w:p>
    <w:p w14:paraId="5283B356" w14:textId="77777777" w:rsidR="002E4BE6" w:rsidRPr="002E4BE6" w:rsidRDefault="002E4BE6" w:rsidP="002E4BE6">
      <w:pPr>
        <w:pStyle w:val="ListBullet"/>
        <w:tabs>
          <w:tab w:val="num" w:pos="360"/>
        </w:tabs>
        <w:ind w:left="360" w:hanging="360"/>
        <w:rPr>
          <w:rFonts w:ascii="Lato Light" w:hAnsi="Lato Light"/>
        </w:rPr>
      </w:pPr>
      <w:r w:rsidRPr="002E4BE6">
        <w:rPr>
          <w:rFonts w:ascii="Lato Light" w:hAnsi="Lato Light"/>
        </w:rPr>
        <w:t>T2049</w:t>
      </w:r>
    </w:p>
    <w:p w14:paraId="6BC10B78" w14:textId="77777777" w:rsidR="002E4BE6" w:rsidRPr="002E4BE6" w:rsidRDefault="002E4BE6" w:rsidP="002E4BE6">
      <w:pPr>
        <w:rPr>
          <w:rFonts w:ascii="Lato Light" w:hAnsi="Lato Light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E4BE6" w:rsidRPr="002E4BE6" w14:paraId="07324997" w14:textId="77777777" w:rsidTr="002E4BE6">
        <w:trPr>
          <w:jc w:val="center"/>
        </w:trPr>
        <w:tc>
          <w:tcPr>
            <w:tcW w:w="2880" w:type="dxa"/>
          </w:tcPr>
          <w:p w14:paraId="17E923FD" w14:textId="77777777" w:rsidR="002E4BE6" w:rsidRPr="002E4BE6" w:rsidRDefault="002E4BE6" w:rsidP="002E4BE6">
            <w:pPr>
              <w:jc w:val="center"/>
              <w:rPr>
                <w:rFonts w:ascii="Lato Light" w:hAnsi="Lato Light"/>
                <w:b/>
                <w:bCs/>
              </w:rPr>
            </w:pPr>
            <w:r w:rsidRPr="002E4BE6">
              <w:rPr>
                <w:rFonts w:ascii="Lato Light" w:hAnsi="Lato Light"/>
                <w:b/>
                <w:bCs/>
              </w:rPr>
              <w:t>Code</w:t>
            </w:r>
          </w:p>
        </w:tc>
        <w:tc>
          <w:tcPr>
            <w:tcW w:w="2880" w:type="dxa"/>
          </w:tcPr>
          <w:p w14:paraId="66166FCF" w14:textId="77777777" w:rsidR="002E4BE6" w:rsidRPr="002E4BE6" w:rsidRDefault="002E4BE6" w:rsidP="002E4BE6">
            <w:pPr>
              <w:jc w:val="center"/>
              <w:rPr>
                <w:rFonts w:ascii="Lato Light" w:hAnsi="Lato Light"/>
                <w:b/>
                <w:bCs/>
              </w:rPr>
            </w:pPr>
            <w:r w:rsidRPr="002E4BE6">
              <w:rPr>
                <w:rFonts w:ascii="Lato Light" w:hAnsi="Lato Light"/>
                <w:b/>
                <w:bCs/>
              </w:rPr>
              <w:t>Description</w:t>
            </w:r>
          </w:p>
        </w:tc>
        <w:tc>
          <w:tcPr>
            <w:tcW w:w="2880" w:type="dxa"/>
          </w:tcPr>
          <w:p w14:paraId="05CC3C4F" w14:textId="77777777" w:rsidR="002E4BE6" w:rsidRPr="002E4BE6" w:rsidRDefault="002E4BE6" w:rsidP="002E4BE6">
            <w:pPr>
              <w:jc w:val="center"/>
              <w:rPr>
                <w:rFonts w:ascii="Lato Light" w:hAnsi="Lato Light"/>
                <w:b/>
                <w:bCs/>
              </w:rPr>
            </w:pPr>
            <w:r w:rsidRPr="002E4BE6">
              <w:rPr>
                <w:rFonts w:ascii="Lato Light" w:hAnsi="Lato Light"/>
                <w:b/>
                <w:bCs/>
              </w:rPr>
              <w:t>Common Use</w:t>
            </w:r>
          </w:p>
        </w:tc>
      </w:tr>
      <w:tr w:rsidR="002E4BE6" w:rsidRPr="002E4BE6" w14:paraId="7BAB6E71" w14:textId="77777777" w:rsidTr="002E4BE6">
        <w:trPr>
          <w:jc w:val="center"/>
        </w:trPr>
        <w:tc>
          <w:tcPr>
            <w:tcW w:w="2880" w:type="dxa"/>
          </w:tcPr>
          <w:p w14:paraId="2F3DE3BF" w14:textId="77777777" w:rsidR="002E4BE6" w:rsidRPr="002E4BE6" w:rsidRDefault="002E4BE6" w:rsidP="00EE744E">
            <w:pPr>
              <w:rPr>
                <w:rFonts w:ascii="Lato Light" w:hAnsi="Lato Light"/>
              </w:rPr>
            </w:pPr>
            <w:r w:rsidRPr="002E4BE6">
              <w:rPr>
                <w:rFonts w:ascii="Lato Light" w:hAnsi="Lato Light"/>
              </w:rPr>
              <w:t>A0100</w:t>
            </w:r>
          </w:p>
        </w:tc>
        <w:tc>
          <w:tcPr>
            <w:tcW w:w="2880" w:type="dxa"/>
          </w:tcPr>
          <w:p w14:paraId="7456F192" w14:textId="77777777" w:rsidR="002E4BE6" w:rsidRPr="002E4BE6" w:rsidRDefault="002E4BE6" w:rsidP="00EE744E">
            <w:pPr>
              <w:rPr>
                <w:rFonts w:ascii="Lato Light" w:hAnsi="Lato Light"/>
              </w:rPr>
            </w:pPr>
            <w:r w:rsidRPr="002E4BE6">
              <w:rPr>
                <w:rFonts w:ascii="Lato Light" w:hAnsi="Lato Light"/>
              </w:rPr>
              <w:t>Non-emergency transportation; taxi</w:t>
            </w:r>
          </w:p>
        </w:tc>
        <w:tc>
          <w:tcPr>
            <w:tcW w:w="2880" w:type="dxa"/>
          </w:tcPr>
          <w:p w14:paraId="467E706A" w14:textId="77777777" w:rsidR="002E4BE6" w:rsidRPr="002E4BE6" w:rsidRDefault="002E4BE6" w:rsidP="00EE744E">
            <w:pPr>
              <w:rPr>
                <w:rFonts w:ascii="Lato Light" w:hAnsi="Lato Light"/>
              </w:rPr>
            </w:pPr>
            <w:r w:rsidRPr="002E4BE6">
              <w:rPr>
                <w:rFonts w:ascii="Lato Light" w:hAnsi="Lato Light"/>
              </w:rPr>
              <w:t>Used for ambulatory trips provided via taxi or sedan.</w:t>
            </w:r>
          </w:p>
        </w:tc>
      </w:tr>
      <w:tr w:rsidR="002E4BE6" w:rsidRPr="002E4BE6" w14:paraId="591A008F" w14:textId="77777777" w:rsidTr="002E4BE6">
        <w:trPr>
          <w:jc w:val="center"/>
        </w:trPr>
        <w:tc>
          <w:tcPr>
            <w:tcW w:w="2880" w:type="dxa"/>
          </w:tcPr>
          <w:p w14:paraId="7AB8E061" w14:textId="77777777" w:rsidR="002E4BE6" w:rsidRPr="002E4BE6" w:rsidRDefault="002E4BE6" w:rsidP="00EE744E">
            <w:pPr>
              <w:rPr>
                <w:rFonts w:ascii="Lato Light" w:hAnsi="Lato Light"/>
              </w:rPr>
            </w:pPr>
            <w:r w:rsidRPr="002E4BE6">
              <w:rPr>
                <w:rFonts w:ascii="Lato Light" w:hAnsi="Lato Light"/>
              </w:rPr>
              <w:t>A0120</w:t>
            </w:r>
          </w:p>
        </w:tc>
        <w:tc>
          <w:tcPr>
            <w:tcW w:w="2880" w:type="dxa"/>
          </w:tcPr>
          <w:p w14:paraId="2184E8B2" w14:textId="77777777" w:rsidR="002E4BE6" w:rsidRPr="002E4BE6" w:rsidRDefault="002E4BE6" w:rsidP="00EE744E">
            <w:pPr>
              <w:rPr>
                <w:rFonts w:ascii="Lato Light" w:hAnsi="Lato Light"/>
              </w:rPr>
            </w:pPr>
            <w:r w:rsidRPr="002E4BE6">
              <w:rPr>
                <w:rFonts w:ascii="Lato Light" w:hAnsi="Lato Light"/>
              </w:rPr>
              <w:t xml:space="preserve">Non-emergency transportation; mini-bus, mountain area transport, or </w:t>
            </w:r>
            <w:proofErr w:type="gramStart"/>
            <w:r w:rsidRPr="002E4BE6">
              <w:rPr>
                <w:rFonts w:ascii="Lato Light" w:hAnsi="Lato Light"/>
              </w:rPr>
              <w:t>other</w:t>
            </w:r>
            <w:proofErr w:type="gramEnd"/>
            <w:r w:rsidRPr="002E4BE6">
              <w:rPr>
                <w:rFonts w:ascii="Lato Light" w:hAnsi="Lato Light"/>
              </w:rPr>
              <w:t xml:space="preserve"> specialized vehicle</w:t>
            </w:r>
          </w:p>
        </w:tc>
        <w:tc>
          <w:tcPr>
            <w:tcW w:w="2880" w:type="dxa"/>
          </w:tcPr>
          <w:p w14:paraId="02DFA718" w14:textId="77777777" w:rsidR="002E4BE6" w:rsidRPr="002E4BE6" w:rsidRDefault="002E4BE6" w:rsidP="00EE744E">
            <w:pPr>
              <w:rPr>
                <w:rFonts w:ascii="Lato Light" w:hAnsi="Lato Light"/>
              </w:rPr>
            </w:pPr>
            <w:r w:rsidRPr="002E4BE6">
              <w:rPr>
                <w:rFonts w:ascii="Lato Light" w:hAnsi="Lato Light"/>
              </w:rPr>
              <w:t>For larger-capacity or specialty vehicles.</w:t>
            </w:r>
          </w:p>
        </w:tc>
      </w:tr>
      <w:tr w:rsidR="002E4BE6" w:rsidRPr="002E4BE6" w14:paraId="7B366213" w14:textId="77777777" w:rsidTr="002E4BE6">
        <w:trPr>
          <w:jc w:val="center"/>
        </w:trPr>
        <w:tc>
          <w:tcPr>
            <w:tcW w:w="2880" w:type="dxa"/>
          </w:tcPr>
          <w:p w14:paraId="55945AAC" w14:textId="77777777" w:rsidR="002E4BE6" w:rsidRPr="002E4BE6" w:rsidRDefault="002E4BE6" w:rsidP="00EE744E">
            <w:pPr>
              <w:rPr>
                <w:rFonts w:ascii="Lato Light" w:hAnsi="Lato Light"/>
              </w:rPr>
            </w:pPr>
            <w:r w:rsidRPr="002E4BE6">
              <w:rPr>
                <w:rFonts w:ascii="Lato Light" w:hAnsi="Lato Light"/>
              </w:rPr>
              <w:t>A0130</w:t>
            </w:r>
          </w:p>
        </w:tc>
        <w:tc>
          <w:tcPr>
            <w:tcW w:w="2880" w:type="dxa"/>
          </w:tcPr>
          <w:p w14:paraId="37675878" w14:textId="77777777" w:rsidR="002E4BE6" w:rsidRPr="002E4BE6" w:rsidRDefault="002E4BE6" w:rsidP="00EE744E">
            <w:pPr>
              <w:rPr>
                <w:rFonts w:ascii="Lato Light" w:hAnsi="Lato Light"/>
              </w:rPr>
            </w:pPr>
            <w:r w:rsidRPr="002E4BE6">
              <w:rPr>
                <w:rFonts w:ascii="Lato Light" w:hAnsi="Lato Light"/>
              </w:rPr>
              <w:t>Non-emergency transportation; wheelchair van</w:t>
            </w:r>
          </w:p>
        </w:tc>
        <w:tc>
          <w:tcPr>
            <w:tcW w:w="2880" w:type="dxa"/>
          </w:tcPr>
          <w:p w14:paraId="12B9C139" w14:textId="77777777" w:rsidR="002E4BE6" w:rsidRPr="002E4BE6" w:rsidRDefault="002E4BE6" w:rsidP="00EE744E">
            <w:pPr>
              <w:rPr>
                <w:rFonts w:ascii="Lato Light" w:hAnsi="Lato Light"/>
              </w:rPr>
            </w:pPr>
            <w:r w:rsidRPr="002E4BE6">
              <w:rPr>
                <w:rFonts w:ascii="Lato Light" w:hAnsi="Lato Light"/>
              </w:rPr>
              <w:t>For passengers requiring wheelchair-accessible transport.</w:t>
            </w:r>
          </w:p>
        </w:tc>
      </w:tr>
      <w:tr w:rsidR="002E4BE6" w:rsidRPr="002E4BE6" w14:paraId="36499D5E" w14:textId="77777777" w:rsidTr="002E4BE6">
        <w:trPr>
          <w:jc w:val="center"/>
        </w:trPr>
        <w:tc>
          <w:tcPr>
            <w:tcW w:w="2880" w:type="dxa"/>
          </w:tcPr>
          <w:p w14:paraId="359D58CD" w14:textId="77777777" w:rsidR="002E4BE6" w:rsidRPr="002E4BE6" w:rsidRDefault="002E4BE6" w:rsidP="00EE744E">
            <w:pPr>
              <w:rPr>
                <w:rFonts w:ascii="Lato Light" w:hAnsi="Lato Light"/>
              </w:rPr>
            </w:pPr>
            <w:r w:rsidRPr="002E4BE6">
              <w:rPr>
                <w:rFonts w:ascii="Lato Light" w:hAnsi="Lato Light"/>
              </w:rPr>
              <w:t>A0200</w:t>
            </w:r>
          </w:p>
        </w:tc>
        <w:tc>
          <w:tcPr>
            <w:tcW w:w="2880" w:type="dxa"/>
          </w:tcPr>
          <w:p w14:paraId="70647E3F" w14:textId="77777777" w:rsidR="002E4BE6" w:rsidRPr="002E4BE6" w:rsidRDefault="002E4BE6" w:rsidP="00EE744E">
            <w:pPr>
              <w:rPr>
                <w:rFonts w:ascii="Lato Light" w:hAnsi="Lato Light"/>
              </w:rPr>
            </w:pPr>
            <w:r w:rsidRPr="002E4BE6">
              <w:rPr>
                <w:rFonts w:ascii="Lato Light" w:hAnsi="Lato Light"/>
              </w:rPr>
              <w:t>Non-emergency transportation: mileage, per mile</w:t>
            </w:r>
          </w:p>
        </w:tc>
        <w:tc>
          <w:tcPr>
            <w:tcW w:w="2880" w:type="dxa"/>
          </w:tcPr>
          <w:p w14:paraId="5A4C258E" w14:textId="77777777" w:rsidR="002E4BE6" w:rsidRPr="002E4BE6" w:rsidRDefault="002E4BE6" w:rsidP="00EE744E">
            <w:pPr>
              <w:rPr>
                <w:rFonts w:ascii="Lato Light" w:hAnsi="Lato Light"/>
              </w:rPr>
            </w:pPr>
            <w:r w:rsidRPr="002E4BE6">
              <w:rPr>
                <w:rFonts w:ascii="Lato Light" w:hAnsi="Lato Light"/>
              </w:rPr>
              <w:t>Used when billing per-mile costs (often with A0100–A0130).</w:t>
            </w:r>
          </w:p>
        </w:tc>
      </w:tr>
      <w:tr w:rsidR="002E4BE6" w:rsidRPr="002E4BE6" w14:paraId="25BBE176" w14:textId="77777777" w:rsidTr="002E4BE6">
        <w:trPr>
          <w:jc w:val="center"/>
        </w:trPr>
        <w:tc>
          <w:tcPr>
            <w:tcW w:w="2880" w:type="dxa"/>
          </w:tcPr>
          <w:p w14:paraId="2468B842" w14:textId="77777777" w:rsidR="002E4BE6" w:rsidRPr="002E4BE6" w:rsidRDefault="002E4BE6" w:rsidP="00EE744E">
            <w:pPr>
              <w:rPr>
                <w:rFonts w:ascii="Lato Light" w:hAnsi="Lato Light"/>
              </w:rPr>
            </w:pPr>
            <w:r w:rsidRPr="002E4BE6">
              <w:rPr>
                <w:rFonts w:ascii="Lato Light" w:hAnsi="Lato Light"/>
              </w:rPr>
              <w:t>T2003</w:t>
            </w:r>
          </w:p>
        </w:tc>
        <w:tc>
          <w:tcPr>
            <w:tcW w:w="2880" w:type="dxa"/>
          </w:tcPr>
          <w:p w14:paraId="60717B70" w14:textId="77777777" w:rsidR="002E4BE6" w:rsidRPr="002E4BE6" w:rsidRDefault="002E4BE6" w:rsidP="00EE744E">
            <w:pPr>
              <w:rPr>
                <w:rFonts w:ascii="Lato Light" w:hAnsi="Lato Light"/>
              </w:rPr>
            </w:pPr>
            <w:r w:rsidRPr="002E4BE6">
              <w:rPr>
                <w:rFonts w:ascii="Lato Light" w:hAnsi="Lato Light"/>
              </w:rPr>
              <w:t>Non-emergency transportation; encounter/trip</w:t>
            </w:r>
          </w:p>
        </w:tc>
        <w:tc>
          <w:tcPr>
            <w:tcW w:w="2880" w:type="dxa"/>
          </w:tcPr>
          <w:p w14:paraId="7C99721E" w14:textId="77777777" w:rsidR="002E4BE6" w:rsidRPr="002E4BE6" w:rsidRDefault="002E4BE6" w:rsidP="00EE744E">
            <w:pPr>
              <w:rPr>
                <w:rFonts w:ascii="Lato Light" w:hAnsi="Lato Light"/>
              </w:rPr>
            </w:pPr>
            <w:r w:rsidRPr="002E4BE6">
              <w:rPr>
                <w:rFonts w:ascii="Lato Light" w:hAnsi="Lato Light"/>
              </w:rPr>
              <w:t>Used when billing per-trip instead of per-mile.</w:t>
            </w:r>
          </w:p>
        </w:tc>
      </w:tr>
    </w:tbl>
    <w:p w14:paraId="700200E4" w14:textId="77777777" w:rsidR="002E4BE6" w:rsidRPr="002E4BE6" w:rsidRDefault="002E4BE6" w:rsidP="002E4BE6">
      <w:pPr>
        <w:rPr>
          <w:rFonts w:ascii="Lato Light" w:hAnsi="Lato Light"/>
        </w:rPr>
      </w:pPr>
    </w:p>
    <w:sectPr w:rsidR="002E4BE6" w:rsidRPr="002E4BE6" w:rsidSect="002E4BE6">
      <w:headerReference w:type="default" r:id="rId7"/>
      <w:pgSz w:w="12240" w:h="15840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E68F2" w14:textId="77777777" w:rsidR="00D11BFD" w:rsidRDefault="00D11BFD" w:rsidP="002E4BE6">
      <w:pPr>
        <w:spacing w:after="0" w:line="240" w:lineRule="auto"/>
      </w:pPr>
      <w:r>
        <w:separator/>
      </w:r>
    </w:p>
  </w:endnote>
  <w:endnote w:type="continuationSeparator" w:id="0">
    <w:p w14:paraId="7863CA58" w14:textId="77777777" w:rsidR="00D11BFD" w:rsidRDefault="00D11BFD" w:rsidP="002E4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 Light">
    <w:panose1 w:val="020F0302020204030203"/>
    <w:charset w:val="4D"/>
    <w:family w:val="swiss"/>
    <w:pitch w:val="variable"/>
    <w:sig w:usb0="A00000AF" w:usb1="5000604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1119F" w14:textId="77777777" w:rsidR="00D11BFD" w:rsidRDefault="00D11BFD" w:rsidP="002E4BE6">
      <w:pPr>
        <w:spacing w:after="0" w:line="240" w:lineRule="auto"/>
      </w:pPr>
      <w:r>
        <w:separator/>
      </w:r>
    </w:p>
  </w:footnote>
  <w:footnote w:type="continuationSeparator" w:id="0">
    <w:p w14:paraId="15F1081A" w14:textId="77777777" w:rsidR="00D11BFD" w:rsidRDefault="00D11BFD" w:rsidP="002E4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25202" w14:textId="472A8D36" w:rsidR="002E4BE6" w:rsidRDefault="002E4BE6">
    <w:pPr>
      <w:pStyle w:val="Header"/>
    </w:pPr>
    <w:r>
      <w:rPr>
        <w:noProof/>
      </w:rPr>
      <w:drawing>
        <wp:inline distT="0" distB="0" distL="0" distR="0" wp14:anchorId="46783CBD" wp14:editId="0DBEFCA0">
          <wp:extent cx="1248123" cy="334175"/>
          <wp:effectExtent l="0" t="0" r="0" b="0"/>
          <wp:docPr id="1627391126" name="Picture 1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391126" name="Picture 1" descr="A black and grey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25687" cy="3817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E4AC5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6819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E6"/>
    <w:rsid w:val="002E4BE6"/>
    <w:rsid w:val="00A26EAC"/>
    <w:rsid w:val="00C36351"/>
    <w:rsid w:val="00D11BFD"/>
    <w:rsid w:val="00FD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E65A0"/>
  <w15:chartTrackingRefBased/>
  <w15:docId w15:val="{A6511C4A-52ED-F749-A3A3-A70B2BE86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BE6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4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BE6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E4BE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4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BE6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4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BE6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Mindi S. Knebel</dc:creator>
  <cp:keywords/>
  <dc:description/>
  <cp:lastModifiedBy>Mindi S. Knebel</cp:lastModifiedBy>
  <cp:revision>1</cp:revision>
  <dcterms:created xsi:type="dcterms:W3CDTF">2025-11-06T17:44:00Z</dcterms:created>
  <dcterms:modified xsi:type="dcterms:W3CDTF">2025-11-06T17:52:00Z</dcterms:modified>
</cp:coreProperties>
</file>