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5363521"/>
        <w:docPartObj>
          <w:docPartGallery w:val="Cover Pages"/>
          <w:docPartUnique/>
        </w:docPartObj>
      </w:sdtPr>
      <w:sdtEndPr>
        <w:rPr>
          <w:rFonts w:ascii="Calibri Light" w:hAnsi="Calibri Light"/>
        </w:rPr>
      </w:sdtEndPr>
      <w:sdtContent>
        <w:p w:rsidR="00AE6B88" w:rsidRDefault="00D033ED">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D033ED">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D033ED">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D033ED">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D033ED">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D033ED">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D033ED" w:rsidP="00031D1A">
      <w:pPr>
        <w:ind w:firstLine="720"/>
        <w:rPr>
          <w:rStyle w:val="IntenseEmphasis"/>
          <w:b w:val="0"/>
          <w:i w:val="0"/>
        </w:rPr>
      </w:pPr>
      <w:hyperlink r:id="rId9"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w:t>
      </w:r>
      <w:r w:rsidR="00CD3549">
        <w:t>više računara</w:t>
      </w:r>
      <w:r>
        <w:t xml:space="preserve">.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FA2D7C" w:rsidRDefault="00FA2D7C" w:rsidP="00E51F59">
      <w:pPr>
        <w:pStyle w:val="Tekst"/>
      </w:pPr>
    </w:p>
    <w:p w:rsidR="00FA2D7C" w:rsidRDefault="00FA2D7C" w:rsidP="00E51F59">
      <w:pPr>
        <w:pStyle w:val="Tekst"/>
      </w:pPr>
      <w:r>
        <w:rPr>
          <w:i/>
        </w:rPr>
        <w:t>Pretpostavka 10:</w:t>
      </w:r>
    </w:p>
    <w:p w:rsidR="00FA2D7C" w:rsidRDefault="00FA2D7C" w:rsidP="00E51F59">
      <w:pPr>
        <w:pStyle w:val="Tekst"/>
      </w:pPr>
      <w:r>
        <w:t>Čitav sistem neće biti samo na jednom računaru.</w:t>
      </w:r>
    </w:p>
    <w:p w:rsidR="00CD3549" w:rsidRDefault="00CD3549" w:rsidP="00E51F59">
      <w:pPr>
        <w:pStyle w:val="Tekst"/>
      </w:pPr>
    </w:p>
    <w:p w:rsidR="00CD3549" w:rsidRDefault="00CD3549" w:rsidP="00CD3549">
      <w:pPr>
        <w:pStyle w:val="Tekst"/>
      </w:pPr>
      <w:r>
        <w:rPr>
          <w:i/>
        </w:rPr>
        <w:t>Pretpostavka 11:</w:t>
      </w:r>
    </w:p>
    <w:p w:rsidR="00CD3549" w:rsidRDefault="00CD3549" w:rsidP="00CD3549">
      <w:pPr>
        <w:pStyle w:val="Tekst"/>
      </w:pPr>
      <w:r>
        <w:t>Baza može biti instalirana na drugom računaru.</w:t>
      </w:r>
    </w:p>
    <w:p w:rsidR="00CD3549" w:rsidRDefault="00CD3549" w:rsidP="00E51F59">
      <w:pPr>
        <w:pStyle w:val="Tekst"/>
      </w:pP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lastRenderedPageBreak/>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w:t>
      </w:r>
      <w:r w:rsidR="00B24188">
        <w:t xml:space="preserve">ri izlaza zahtijevaju monitor, </w:t>
      </w:r>
      <w:r>
        <w:t>printer</w:t>
      </w:r>
      <w:r w:rsidR="00B24188">
        <w:t xml:space="preserve"> i modem</w:t>
      </w:r>
      <w:r>
        <w:t xml:space="preserve"> kao svoje izlazne uređaje.</w:t>
      </w:r>
    </w:p>
    <w:p w:rsidR="00B24188" w:rsidRDefault="00B24188" w:rsidP="00E51F59">
      <w:pPr>
        <w:pStyle w:val="Tekst"/>
      </w:pPr>
      <w:r>
        <w:t>Potreban je pristup internetu.</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8B284A"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w:t>
            </w:r>
            <w:r w:rsidR="008B284A">
              <w:rPr>
                <w:rFonts w:asciiTheme="majorHAnsi" w:hAnsiTheme="majorHAnsi"/>
                <w:sz w:val="22"/>
              </w:rPr>
              <w:t>Sistem administratoru omoguć</w:t>
            </w:r>
            <w:bookmarkStart w:id="150" w:name="_GoBack"/>
            <w:bookmarkEnd w:id="150"/>
            <w:r w:rsidR="008B284A" w:rsidRPr="008B284A">
              <w:rPr>
                <w:rFonts w:asciiTheme="majorHAnsi" w:hAnsiTheme="majorHAnsi"/>
                <w:sz w:val="22"/>
              </w:rPr>
              <w:t>ava listu zaposlenika sortiranih  po imenima, po abecedi(A-Z)</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8"/>
      <w:r w:rsidRPr="00F77E5A">
        <w:t>3.2.</w:t>
      </w:r>
      <w:r w:rsidR="004E0E95">
        <w:t>2</w:t>
      </w:r>
      <w:r w:rsidRPr="00F77E5A">
        <w:t>.3. Pretraživanje pacijenata (po opisu, imenu, IDu)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2" w:name="_Toc418037889"/>
      <w:r w:rsidRPr="00F77E5A">
        <w:t>3.2.</w:t>
      </w:r>
      <w:r w:rsidR="004E0E95">
        <w:t>2</w:t>
      </w:r>
      <w:r w:rsidRPr="00F77E5A">
        <w:t>.4. Pregled informacija o pacijentu</w:t>
      </w:r>
      <w:bookmarkEnd w:id="15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3" w:name="h.uuef2vh99jf9" w:colFirst="0" w:colLast="0"/>
      <w:bookmarkStart w:id="154" w:name="_Toc418037890"/>
      <w:bookmarkEnd w:id="153"/>
      <w:r w:rsidRPr="00F77E5A">
        <w:rPr>
          <w:rFonts w:eastAsia="Trebuchet MS"/>
        </w:rPr>
        <w:t>3.2.3. Upravl</w:t>
      </w:r>
      <w:r>
        <w:rPr>
          <w:rFonts w:eastAsia="Trebuchet MS"/>
        </w:rPr>
        <w:t>janje tipovima zahvata</w:t>
      </w:r>
      <w:bookmarkEnd w:id="154"/>
    </w:p>
    <w:p w:rsidR="00F77E5A" w:rsidRPr="00F77E5A" w:rsidRDefault="00F77E5A" w:rsidP="00F77E5A">
      <w:pPr>
        <w:pStyle w:val="Podpodnaslov"/>
      </w:pPr>
      <w:bookmarkStart w:id="155" w:name="_Toc418037891"/>
      <w:r w:rsidRPr="00F77E5A">
        <w:t>3.2.3.1. Dodavanje različitih tipova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Pr="00F77E5A" w:rsidRDefault="00264811" w:rsidP="00F77E5A">
            <w:pPr>
              <w:spacing w:line="240" w:lineRule="auto"/>
            </w:pPr>
            <w:r w:rsidRPr="00F77E5A">
              <w:t>●</w:t>
            </w:r>
            <w:r>
              <w:t xml:space="preserve">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Pr="00F77E5A" w:rsidRDefault="00264811" w:rsidP="00264811">
            <w:pPr>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6" w:name="_Toc418037893"/>
      <w:r>
        <w:t>3.2.3.2</w:t>
      </w:r>
      <w:r w:rsidR="00F77E5A" w:rsidRPr="00F77E5A">
        <w:t>. Modificiranje cijena za svaki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7" w:name="_Toc418037894"/>
      <w:r>
        <w:t>3.2.3.3</w:t>
      </w:r>
      <w:r w:rsidR="00F77E5A" w:rsidRPr="00F77E5A">
        <w:t>. Dodavanje materijala koji su potrebni za određeni tip zahvata</w:t>
      </w:r>
      <w:bookmarkEnd w:id="15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lastRenderedPageBreak/>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8" w:name="h.tnyvpmk9iwut" w:colFirst="0" w:colLast="0"/>
      <w:bookmarkStart w:id="159" w:name="_Toc418037895"/>
      <w:bookmarkEnd w:id="158"/>
      <w:r w:rsidRPr="00F77E5A">
        <w:rPr>
          <w:rFonts w:eastAsia="Trebuchet MS"/>
        </w:rPr>
        <w:t>3.2.4. Upravljanje zahvati</w:t>
      </w:r>
      <w:r>
        <w:rPr>
          <w:rFonts w:eastAsia="Trebuchet MS"/>
        </w:rPr>
        <w:t>ma nad pacijentima</w:t>
      </w:r>
      <w:bookmarkEnd w:id="159"/>
    </w:p>
    <w:p w:rsidR="00F77E5A" w:rsidRPr="00F77E5A" w:rsidRDefault="00F77E5A" w:rsidP="00F77E5A">
      <w:pPr>
        <w:pStyle w:val="Podpodnaslov"/>
      </w:pPr>
      <w:bookmarkStart w:id="160" w:name="_Toc418037896"/>
      <w:r w:rsidRPr="00F77E5A">
        <w:t>3.2.4.1. Evidentiranje zahvata unutar posjete</w:t>
      </w:r>
      <w:bookmarkEnd w:id="16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5766EC" w:rsidRPr="005766EC" w:rsidRDefault="005766EC" w:rsidP="00F77E5A">
            <w:pPr>
              <w:pStyle w:val="Tekst"/>
            </w:pPr>
            <w:r w:rsidRPr="00F77E5A">
              <w:rPr>
                <w:rFonts w:ascii="Times New Roman" w:hAnsi="Times New Roman"/>
              </w:rPr>
              <w:t>●</w:t>
            </w:r>
            <w:r>
              <w:t xml:space="preserve"> Korisnik odabire posjetu na kojoj dodaje zahvate</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1" w:name="h.jrgq739i6kv9" w:colFirst="0" w:colLast="0"/>
      <w:bookmarkStart w:id="162" w:name="_Toc418037897"/>
      <w:bookmarkEnd w:id="161"/>
      <w:r>
        <w:rPr>
          <w:rFonts w:eastAsia="Trebuchet MS"/>
        </w:rPr>
        <w:t>3.2.5. Upravljanje posjetama</w:t>
      </w:r>
      <w:bookmarkEnd w:id="162"/>
    </w:p>
    <w:p w:rsidR="00F77E5A" w:rsidRPr="00C44A7F" w:rsidRDefault="00F77E5A" w:rsidP="00F77E5A">
      <w:pPr>
        <w:pStyle w:val="Podpodnaslov"/>
      </w:pPr>
      <w:bookmarkStart w:id="163" w:name="_Toc416447837"/>
      <w:bookmarkStart w:id="164" w:name="_Toc416448953"/>
      <w:bookmarkStart w:id="165" w:name="_Toc418037898"/>
      <w:r>
        <w:t xml:space="preserve">3.2.5.1 </w:t>
      </w:r>
      <w:r w:rsidRPr="00C44A7F">
        <w:t>Evidentiranje posjete</w:t>
      </w:r>
      <w:bookmarkEnd w:id="163"/>
      <w:bookmarkEnd w:id="164"/>
      <w:bookmarkEnd w:id="165"/>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D277D4">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D277D4"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t>Termin posjete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w:t>
            </w:r>
            <w:r w:rsidR="00D277D4">
              <w:t>, termin</w:t>
            </w:r>
            <w:r w:rsidRPr="00C44A7F">
              <w:t xml:space="preserve">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6" w:name="_Toc416447838"/>
      <w:bookmarkStart w:id="167" w:name="_Toc416448954"/>
    </w:p>
    <w:p w:rsidR="00F77E5A" w:rsidRPr="00C44A7F" w:rsidRDefault="00F77E5A" w:rsidP="00F77E5A">
      <w:pPr>
        <w:pStyle w:val="Podpodnaslov"/>
        <w:rPr>
          <w:rFonts w:ascii="Cambria" w:eastAsia="Calibri" w:hAnsi="Cambria"/>
          <w:color w:val="000000"/>
          <w:szCs w:val="22"/>
        </w:rPr>
      </w:pPr>
      <w:bookmarkStart w:id="168" w:name="_Toc416447839"/>
      <w:bookmarkStart w:id="169" w:name="_Toc416448955"/>
      <w:bookmarkStart w:id="170" w:name="_Toc418037899"/>
      <w:bookmarkEnd w:id="166"/>
      <w:bookmarkEnd w:id="167"/>
      <w:r>
        <w:t xml:space="preserve">3.2.5.3 </w:t>
      </w:r>
      <w:r w:rsidRPr="00C44A7F">
        <w:t>Pretraživanje posjeta po dijagnozama pacijenata</w:t>
      </w:r>
      <w:bookmarkEnd w:id="168"/>
      <w:bookmarkEnd w:id="169"/>
      <w:bookmarkEnd w:id="170"/>
    </w:p>
    <w:tbl>
      <w:tblPr>
        <w:tblStyle w:val="PlainTable1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 xml:space="preserve">Sistem izlistava posjete koje imaju dijagnoze sa kriterijumom da se u njima nalaze unesene ključne </w:t>
            </w:r>
            <w:r w:rsidRPr="00C44A7F">
              <w:lastRenderedPageBreak/>
              <w:t>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lastRenderedPageBreak/>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1" w:name="h.yn15yf8d67uq" w:colFirst="0" w:colLast="0"/>
      <w:bookmarkStart w:id="172" w:name="_Toc418037900"/>
      <w:bookmarkEnd w:id="171"/>
      <w:r w:rsidRPr="00F77E5A">
        <w:rPr>
          <w:rFonts w:eastAsia="Trebuchet MS"/>
        </w:rPr>
        <w:t>3.2.6. U</w:t>
      </w:r>
      <w:r>
        <w:rPr>
          <w:rFonts w:eastAsia="Trebuchet MS"/>
        </w:rPr>
        <w:t>pravljanje terminima za posjete</w:t>
      </w:r>
      <w:bookmarkEnd w:id="172"/>
    </w:p>
    <w:p w:rsidR="00F77E5A" w:rsidRPr="00F77E5A" w:rsidRDefault="00F77E5A" w:rsidP="00F77E5A">
      <w:pPr>
        <w:pStyle w:val="Podpodnaslov"/>
      </w:pPr>
      <w:bookmarkStart w:id="173" w:name="_Toc418037901"/>
      <w:r w:rsidRPr="00F77E5A">
        <w:t>3.2.6.1. Rezervisanje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4" w:name="_Toc418037902"/>
      <w:r w:rsidRPr="00F77E5A">
        <w:t>3.2.6.2. Otkazivanje rezervisanog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7B1D55" w:rsidP="00F77E5A">
      <w:pPr>
        <w:pStyle w:val="Podpodnaslov"/>
      </w:pPr>
      <w:bookmarkStart w:id="175" w:name="_Toc418037903"/>
      <w:r>
        <w:t>3.2.6.3. Pregled r</w:t>
      </w:r>
      <w:r w:rsidR="00F77E5A" w:rsidRPr="00F77E5A">
        <w:t>ezervisanih termina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7B1D55" w:rsidP="00F77E5A">
            <w:pPr>
              <w:tabs>
                <w:tab w:val="right" w:pos="9180"/>
              </w:tabs>
              <w:spacing w:line="240" w:lineRule="auto"/>
              <w:rPr>
                <w:rFonts w:asciiTheme="majorHAnsi" w:hAnsiTheme="majorHAnsi"/>
                <w:sz w:val="24"/>
              </w:rPr>
            </w:pPr>
            <w:r>
              <w:rPr>
                <w:rFonts w:asciiTheme="majorHAnsi" w:hAnsiTheme="majorHAnsi"/>
                <w:sz w:val="24"/>
              </w:rPr>
              <w:t>Sistem prikazuje termine koji su rezervisani do unesenog datuma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w:t>
            </w:r>
            <w:r w:rsidR="007B1D55">
              <w:rPr>
                <w:rFonts w:asciiTheme="majorHAnsi" w:hAnsiTheme="majorHAnsi"/>
                <w:sz w:val="24"/>
              </w:rPr>
              <w:t xml:space="preserve"> sistem prikazuje rezervisane termine</w:t>
            </w:r>
            <w:r w:rsidRPr="004A6CB9">
              <w:rPr>
                <w:rFonts w:asciiTheme="majorHAnsi" w:hAnsiTheme="majorHAnsi"/>
                <w:sz w:val="24"/>
              </w:rPr>
              <w:t xml:space="preserve">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8037904"/>
      <w:r w:rsidRPr="00F77E5A">
        <w:t>3.2.6.4. Pregled zauzetosti doktora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7" w:name="_Toc418037905"/>
      <w:bookmarkStart w:id="178" w:name="_Toc416447840"/>
      <w:bookmarkStart w:id="179" w:name="_Toc416448956"/>
      <w:r>
        <w:t>3.2.7 Upravljanje materijalima</w:t>
      </w:r>
      <w:bookmarkEnd w:id="177"/>
    </w:p>
    <w:p w:rsidR="00F77E5A" w:rsidRPr="00C44A7F" w:rsidRDefault="00F77E5A" w:rsidP="00F77E5A">
      <w:pPr>
        <w:pStyle w:val="Podpodnaslov"/>
        <w:rPr>
          <w:rFonts w:ascii="Cambria" w:eastAsia="Calibri" w:hAnsi="Cambria"/>
          <w:color w:val="000000"/>
          <w:szCs w:val="22"/>
        </w:rPr>
      </w:pPr>
      <w:bookmarkStart w:id="180" w:name="_Toc418037906"/>
      <w:r>
        <w:t xml:space="preserve">3.2.7.1 </w:t>
      </w:r>
      <w:r w:rsidRPr="00C44A7F">
        <w:t>Evidentiranje dostupnih materijala</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lastRenderedPageBreak/>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1" w:name="_Toc416447841"/>
      <w:bookmarkStart w:id="182" w:name="_Toc416448957"/>
    </w:p>
    <w:p w:rsidR="00F77E5A" w:rsidRPr="00C44A7F" w:rsidRDefault="00F77E5A" w:rsidP="00F77E5A">
      <w:pPr>
        <w:pStyle w:val="Podpodnaslov"/>
        <w:rPr>
          <w:rFonts w:ascii="Cambria" w:eastAsia="Calibri" w:hAnsi="Cambria"/>
          <w:color w:val="000000"/>
          <w:szCs w:val="22"/>
        </w:rPr>
      </w:pPr>
      <w:bookmarkStart w:id="183" w:name="_Toc418037907"/>
      <w:r>
        <w:t xml:space="preserve">3.2.7.2 </w:t>
      </w:r>
      <w:r w:rsidRPr="00C44A7F">
        <w:t>Unos novih materijala</w:t>
      </w:r>
      <w:bookmarkEnd w:id="181"/>
      <w:bookmarkEnd w:id="182"/>
      <w:bookmarkEnd w:id="18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4" w:name="_Toc416447842"/>
      <w:bookmarkStart w:id="185" w:name="_Toc416448958"/>
    </w:p>
    <w:p w:rsidR="00F77E5A" w:rsidRPr="00C44A7F" w:rsidRDefault="00F77E5A" w:rsidP="00F77E5A">
      <w:pPr>
        <w:pStyle w:val="Podpodnaslov"/>
        <w:rPr>
          <w:rFonts w:ascii="Cambria" w:eastAsia="Calibri" w:hAnsi="Cambria"/>
          <w:color w:val="000000"/>
          <w:szCs w:val="22"/>
        </w:rPr>
      </w:pPr>
      <w:bookmarkStart w:id="186" w:name="_Toc418037908"/>
      <w:r>
        <w:t xml:space="preserve">3.2.7.3 </w:t>
      </w:r>
      <w:r w:rsidRPr="00C44A7F">
        <w:t>Brisanje postojećeg materijala</w:t>
      </w:r>
      <w:bookmarkEnd w:id="184"/>
      <w:bookmarkEnd w:id="185"/>
      <w:bookmarkEnd w:id="186"/>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 xml:space="preserve">Sistem traži potvrdu za brisanje, te ako je afirmativna, </w:t>
            </w:r>
            <w:r w:rsidRPr="00C44A7F">
              <w:lastRenderedPageBreak/>
              <w:t>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7" w:name="h.mpvuea8cte02" w:colFirst="0" w:colLast="0"/>
      <w:bookmarkStart w:id="188" w:name="h.bf7n2b195e5s" w:colFirst="0" w:colLast="0"/>
      <w:bookmarkStart w:id="189" w:name="_Toc418037909"/>
      <w:bookmarkEnd w:id="187"/>
      <w:bookmarkEnd w:id="188"/>
      <w:r w:rsidRPr="00F77E5A">
        <w:rPr>
          <w:rFonts w:eastAsia="Trebuchet MS"/>
        </w:rPr>
        <w:t>3.2.8. Izvještaji koji se mogu dobiti</w:t>
      </w:r>
      <w:bookmarkEnd w:id="189"/>
    </w:p>
    <w:p w:rsidR="00F77E5A" w:rsidRPr="00F77E5A" w:rsidRDefault="00F77E5A" w:rsidP="00F77E5A">
      <w:pPr>
        <w:pStyle w:val="Podpodnaslov"/>
        <w:rPr>
          <w:sz w:val="32"/>
        </w:rPr>
      </w:pPr>
      <w:bookmarkStart w:id="190" w:name="h.sgh4hlfvosp" w:colFirst="0" w:colLast="0"/>
      <w:bookmarkStart w:id="191" w:name="_Toc418037910"/>
      <w:bookmarkEnd w:id="190"/>
      <w:r w:rsidRPr="00F77E5A">
        <w:t>3.2.8.1.Izvještaj o svim posjetama i zahvatima sa uključenim cijenama</w:t>
      </w:r>
      <w:bookmarkEnd w:id="19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2" w:name="_Toc418037911"/>
      <w:r w:rsidRPr="00F77E5A">
        <w:t>3.2.8.2. Financijski izvještaj o svim ulazima u toku dana/sedmice/mjeseca</w:t>
      </w:r>
      <w:bookmarkEnd w:id="192"/>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3" w:name="_Toc418037912"/>
      <w:r w:rsidRPr="00F77E5A">
        <w:t>3.2.8.3. Financijski izvještaj o potrošenim materijalima i njihovoj cijeni</w:t>
      </w:r>
      <w:bookmarkEnd w:id="193"/>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4" w:name="_Toc418037913"/>
      <w:r w:rsidRPr="00F77E5A">
        <w:t>3.2.8.4. Izvještaj o obavljenim posjetama nekog pacijenta sa uključenim informacijama o zahvatima i doktorima koji su ga primili</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5" w:name="_Toc418037914"/>
      <w:r w:rsidRPr="00F77E5A">
        <w:t>3.2.8.5. Izvještaj o svim odrađenim posjetama (u toku dana/sedmice/mjeseca)</w:t>
      </w:r>
      <w:bookmarkEnd w:id="19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6" w:name="h.n7mqzlcgljhh" w:colFirst="0" w:colLast="0"/>
      <w:bookmarkEnd w:id="196"/>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7" w:name="_Toc416447843"/>
      <w:bookmarkStart w:id="198" w:name="_Toc416448959"/>
      <w:bookmarkStart w:id="199" w:name="_Toc418037915"/>
      <w:r>
        <w:t>3.3 Nefunkcionalni zahtjevi i osobine sistema</w:t>
      </w:r>
      <w:bookmarkEnd w:id="197"/>
      <w:bookmarkEnd w:id="198"/>
      <w:bookmarkEnd w:id="199"/>
    </w:p>
    <w:p w:rsidR="00E1368B" w:rsidRDefault="00E1368B" w:rsidP="006E1077">
      <w:pPr>
        <w:pStyle w:val="Podnaslov"/>
      </w:pPr>
      <w:bookmarkStart w:id="200" w:name="_Toc416447844"/>
      <w:bookmarkStart w:id="201" w:name="_Toc416448960"/>
      <w:bookmarkStart w:id="202" w:name="_Toc418037916"/>
      <w:r>
        <w:t>3.3.1. Upotrebljivost sistema</w:t>
      </w:r>
      <w:bookmarkEnd w:id="200"/>
      <w:bookmarkEnd w:id="201"/>
      <w:bookmarkEnd w:id="202"/>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w:t>
      </w:r>
      <w:r w:rsidR="003047DE">
        <w:t xml:space="preserve">novu ključnih riječi </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w:t>
      </w:r>
      <w:r w:rsidR="003047DE">
        <w:t>vat će biti preporučeni materijali</w:t>
      </w:r>
      <w:r>
        <w:t xml:space="preserve"> i količina istih da se evidentiraju n</w:t>
      </w:r>
      <w:r w:rsidR="003047DE">
        <w:t>a osnovu predefinisanih materijala</w:t>
      </w:r>
      <w:r>
        <w:t xml:space="preserve"> za taj tip zahvata, tako da korisnik ne mora sva</w:t>
      </w:r>
      <w:r w:rsidR="003047DE">
        <w:t>ki put da unosi koji su materijali</w:t>
      </w:r>
      <w:r>
        <w:t xml:space="preserve">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3" w:name="_Toc416447845"/>
      <w:bookmarkStart w:id="204" w:name="_Toc416448961"/>
      <w:bookmarkStart w:id="205" w:name="_Toc418037917"/>
      <w:r>
        <w:t>3.3.2. Performanse sistem</w:t>
      </w:r>
      <w:bookmarkEnd w:id="203"/>
      <w:bookmarkEnd w:id="204"/>
      <w:r w:rsidR="00A36823">
        <w:t>a</w:t>
      </w:r>
      <w:bookmarkEnd w:id="205"/>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lastRenderedPageBreak/>
        <w:t>Pretraživanja svih od</w:t>
      </w:r>
      <w:r w:rsidR="009B3DC3">
        <w:t xml:space="preserve">rađenih zahvata po posjetama </w:t>
      </w:r>
      <w:r>
        <w:t>su op</w:t>
      </w:r>
      <w:r w:rsidR="006E1077">
        <w:t>timizirana i ne traju više od 5</w:t>
      </w:r>
      <w:r w:rsidR="009B3DC3">
        <w:t>s.</w:t>
      </w:r>
    </w:p>
    <w:p w:rsidR="000F5CC7" w:rsidRDefault="000F5CC7" w:rsidP="002516FC">
      <w:pPr>
        <w:pStyle w:val="Naslov"/>
        <w:outlineLvl w:val="1"/>
      </w:pPr>
      <w:bookmarkStart w:id="206" w:name="_Toc416447846"/>
      <w:bookmarkStart w:id="207" w:name="_Toc416448962"/>
      <w:bookmarkStart w:id="208" w:name="_Toc418037918"/>
      <w:r>
        <w:t xml:space="preserve">3.4 </w:t>
      </w:r>
      <w:r w:rsidR="00E1368B" w:rsidRPr="000F5CC7">
        <w:t>Atributi kvalitete softvera</w:t>
      </w:r>
      <w:bookmarkEnd w:id="206"/>
      <w:bookmarkEnd w:id="207"/>
      <w:bookmarkEnd w:id="208"/>
    </w:p>
    <w:p w:rsidR="00EF5783" w:rsidRPr="002516FC" w:rsidRDefault="00EF5783" w:rsidP="002516FC">
      <w:pPr>
        <w:pStyle w:val="Podnaslov"/>
        <w:rPr>
          <w:rStyle w:val="PodnaslovChar"/>
        </w:rPr>
      </w:pPr>
      <w:bookmarkStart w:id="209" w:name="_Toc418037919"/>
      <w:r w:rsidRPr="002516FC">
        <w:rPr>
          <w:rStyle w:val="PodnaslovChar"/>
        </w:rPr>
        <w:t>3.4.1. Fizička sigurnost sistema</w:t>
      </w:r>
      <w:bookmarkEnd w:id="209"/>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 xml:space="preserve">Računar na kojem će </w:t>
      </w:r>
      <w:r w:rsidR="00FA2D7C">
        <w:rPr>
          <w:rFonts w:asciiTheme="majorHAnsi" w:hAnsiTheme="majorHAnsi" w:cs="Arial"/>
          <w:szCs w:val="23"/>
        </w:rPr>
        <w:t>biti baza</w:t>
      </w:r>
      <w:r w:rsidRPr="009B3DC3">
        <w:rPr>
          <w:rFonts w:asciiTheme="majorHAnsi" w:hAnsiTheme="majorHAnsi" w:cs="Arial"/>
          <w:szCs w:val="23"/>
        </w:rPr>
        <w:t xml:space="preserve">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10" w:name="_Toc418037920"/>
      <w:r>
        <w:t>3.4.2. Sigurnost sistema</w:t>
      </w:r>
      <w:bookmarkEnd w:id="210"/>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1" w:name="_Toc418037921"/>
      <w:r>
        <w:t>3.4.3. Backup</w:t>
      </w:r>
      <w:bookmarkEnd w:id="211"/>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2" w:name="_Toc418037922"/>
      <w:r>
        <w:t>3.4.4. Portabilnost sistema</w:t>
      </w:r>
      <w:bookmarkEnd w:id="212"/>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3" w:name="_Toc418037923"/>
      <w:r>
        <w:lastRenderedPageBreak/>
        <w:t>3.4.5. Skalabilnost sistema</w:t>
      </w:r>
      <w:bookmarkEnd w:id="213"/>
    </w:p>
    <w:p w:rsidR="00EF5783" w:rsidRPr="009B3DC3" w:rsidRDefault="00EF5783" w:rsidP="009B3DC3">
      <w:pPr>
        <w:pStyle w:val="Tekst"/>
      </w:pPr>
      <w:r w:rsidRPr="009B3DC3">
        <w:t>Sistem je dizajniran tako da može da podrži veliki broj pacijenata, posjeta, zahvata i lijek</w:t>
      </w:r>
      <w:r w:rsidR="00786592">
        <w:t>ova. Planirano je da radi sa oko</w:t>
      </w:r>
      <w:r w:rsidRPr="009B3DC3">
        <w:t xml:space="preserve"> 1000 pacijenata, a broj se može povećavati u prosjeku i do 10 000 - 100 000 pacijenata sa svakim od oko 100 evidentiranih posjeta, ograničeno veličinom baze, a koja će se po potrebi moći proširiti.</w:t>
      </w:r>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3ED" w:rsidRDefault="00D033ED" w:rsidP="00BE5ECD">
      <w:pPr>
        <w:spacing w:line="240" w:lineRule="auto"/>
      </w:pPr>
      <w:r>
        <w:separator/>
      </w:r>
    </w:p>
  </w:endnote>
  <w:endnote w:type="continuationSeparator" w:id="0">
    <w:p w:rsidR="00D033ED" w:rsidRDefault="00D033ED"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8B284A">
          <w:rPr>
            <w:noProof/>
          </w:rPr>
          <w:t>15</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3ED" w:rsidRDefault="00D033ED" w:rsidP="00BE5ECD">
      <w:pPr>
        <w:spacing w:line="240" w:lineRule="auto"/>
      </w:pPr>
      <w:r>
        <w:separator/>
      </w:r>
    </w:p>
  </w:footnote>
  <w:footnote w:type="continuationSeparator" w:id="0">
    <w:p w:rsidR="00D033ED" w:rsidRDefault="00D033ED"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A6CB9"/>
    <w:rsid w:val="004E0E95"/>
    <w:rsid w:val="00553389"/>
    <w:rsid w:val="005766EC"/>
    <w:rsid w:val="005B5EED"/>
    <w:rsid w:val="0061203C"/>
    <w:rsid w:val="0062021B"/>
    <w:rsid w:val="00656DBD"/>
    <w:rsid w:val="00686E5A"/>
    <w:rsid w:val="006E1077"/>
    <w:rsid w:val="00754709"/>
    <w:rsid w:val="00780358"/>
    <w:rsid w:val="00780875"/>
    <w:rsid w:val="00786592"/>
    <w:rsid w:val="007B173C"/>
    <w:rsid w:val="007B1D55"/>
    <w:rsid w:val="0085401F"/>
    <w:rsid w:val="008B284A"/>
    <w:rsid w:val="009A415E"/>
    <w:rsid w:val="009B2674"/>
    <w:rsid w:val="009B3DC3"/>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44A7F"/>
    <w:rsid w:val="00CB636B"/>
    <w:rsid w:val="00CD3549"/>
    <w:rsid w:val="00D033ED"/>
    <w:rsid w:val="00D277D4"/>
    <w:rsid w:val="00D47B25"/>
    <w:rsid w:val="00D6552E"/>
    <w:rsid w:val="00D67EDC"/>
    <w:rsid w:val="00DA6178"/>
    <w:rsid w:val="00DD71B5"/>
    <w:rsid w:val="00E1368B"/>
    <w:rsid w:val="00E42C93"/>
    <w:rsid w:val="00E51F59"/>
    <w:rsid w:val="00E863AD"/>
    <w:rsid w:val="00EB4448"/>
    <w:rsid w:val="00EC3B52"/>
    <w:rsid w:val="00EF5783"/>
    <w:rsid w:val="00F77E5A"/>
    <w:rsid w:val="00FA2D7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E64882D-19D3-446A-B38E-CE152CE1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C7DC4-3CA6-4C86-A152-EFEBDE16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33</Pages>
  <Words>6803</Words>
  <Characters>38779</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Haris</cp:lastModifiedBy>
  <cp:revision>52</cp:revision>
  <cp:lastPrinted>2015-04-23T16:27:00Z</cp:lastPrinted>
  <dcterms:created xsi:type="dcterms:W3CDTF">2015-04-08T11:38:00Z</dcterms:created>
  <dcterms:modified xsi:type="dcterms:W3CDTF">2015-04-29T16:13:00Z</dcterms:modified>
</cp:coreProperties>
</file>