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2E3E01">
              <w:rPr>
                <w:noProof/>
                <w:webHidden/>
              </w:rPr>
              <w:t>4</w:t>
            </w:r>
            <w:r>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2E3E01">
              <w:rPr>
                <w:noProof/>
                <w:webHidden/>
              </w:rPr>
              <w:t>4</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2E3E01">
              <w:rPr>
                <w:noProof/>
                <w:webHidden/>
              </w:rPr>
              <w:t>5</w:t>
            </w:r>
            <w:r w:rsidR="001309CA">
              <w:rPr>
                <w:noProof/>
                <w:webHidden/>
              </w:rPr>
              <w:fldChar w:fldCharType="end"/>
            </w:r>
          </w:hyperlink>
        </w:p>
        <w:p w:rsidR="00076801" w:rsidRDefault="00CA3D2B">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2E3E01">
              <w:rPr>
                <w:noProof/>
                <w:webHidden/>
              </w:rPr>
              <w:t>6</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2E3E01">
              <w:rPr>
                <w:noProof/>
                <w:webHidden/>
              </w:rPr>
              <w:t>6</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2E3E01">
              <w:rPr>
                <w:noProof/>
                <w:webHidden/>
              </w:rPr>
              <w:t>7</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2E3E01">
              <w:rPr>
                <w:noProof/>
                <w:webHidden/>
              </w:rPr>
              <w:t>8</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2E3E01">
              <w:rPr>
                <w:noProof/>
                <w:webHidden/>
              </w:rPr>
              <w:t>9</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2E3E01">
              <w:rPr>
                <w:noProof/>
                <w:webHidden/>
              </w:rPr>
              <w:t>10</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2E3E01">
              <w:rPr>
                <w:noProof/>
                <w:webHidden/>
              </w:rPr>
              <w:t>11</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2E3E01">
              <w:rPr>
                <w:noProof/>
                <w:webHidden/>
              </w:rPr>
              <w:t>13</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2E3E01">
              <w:rPr>
                <w:noProof/>
                <w:webHidden/>
              </w:rPr>
              <w:t>15</w:t>
            </w:r>
            <w:r w:rsidR="001309CA">
              <w:rPr>
                <w:noProof/>
                <w:webHidden/>
              </w:rPr>
              <w:fldChar w:fldCharType="end"/>
            </w:r>
          </w:hyperlink>
        </w:p>
        <w:p w:rsidR="00076801" w:rsidRDefault="00CA3D2B">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2E3E01">
              <w:rPr>
                <w:noProof/>
                <w:webHidden/>
              </w:rPr>
              <w:t>16</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2E3E01">
              <w:rPr>
                <w:noProof/>
                <w:webHidden/>
              </w:rPr>
              <w:t>17</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2E3E01">
              <w:rPr>
                <w:noProof/>
                <w:webHidden/>
              </w:rPr>
              <w:t>17</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2E3E01">
              <w:rPr>
                <w:noProof/>
                <w:webHidden/>
              </w:rPr>
              <w:t>18</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2E3E01">
              <w:rPr>
                <w:noProof/>
                <w:webHidden/>
              </w:rPr>
              <w:t>19</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2E3E01">
              <w:rPr>
                <w:noProof/>
                <w:webHidden/>
              </w:rPr>
              <w:t>20</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2E3E01">
              <w:rPr>
                <w:noProof/>
                <w:webHidden/>
              </w:rPr>
              <w:t>21</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2E3E01">
              <w:rPr>
                <w:noProof/>
                <w:webHidden/>
              </w:rPr>
              <w:t>22</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2E3E01">
              <w:rPr>
                <w:noProof/>
                <w:webHidden/>
              </w:rPr>
              <w:t>23</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2E3E01">
              <w:rPr>
                <w:noProof/>
                <w:webHidden/>
              </w:rPr>
              <w:t>24</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2E3E01">
              <w:rPr>
                <w:noProof/>
                <w:webHidden/>
              </w:rPr>
              <w:t>25</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2E3E01">
              <w:rPr>
                <w:noProof/>
                <w:webHidden/>
              </w:rPr>
              <w:t>26</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2E3E01">
              <w:rPr>
                <w:noProof/>
                <w:webHidden/>
              </w:rPr>
              <w:t>27</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2E3E01">
              <w:rPr>
                <w:noProof/>
                <w:webHidden/>
              </w:rPr>
              <w:t>28</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2E3E01">
              <w:rPr>
                <w:noProof/>
                <w:webHidden/>
              </w:rPr>
              <w:t>29</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2E3E01">
              <w:rPr>
                <w:noProof/>
                <w:webHidden/>
              </w:rPr>
              <w:t>30</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2E3E01">
              <w:rPr>
                <w:noProof/>
                <w:webHidden/>
              </w:rPr>
              <w:t>31</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2E3E01">
              <w:rPr>
                <w:noProof/>
                <w:webHidden/>
              </w:rPr>
              <w:t>32</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2E3E01">
              <w:rPr>
                <w:noProof/>
                <w:webHidden/>
              </w:rPr>
              <w:t>33</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2E3E01">
              <w:rPr>
                <w:noProof/>
                <w:webHidden/>
              </w:rPr>
              <w:t>34</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2E3E01">
              <w:rPr>
                <w:noProof/>
                <w:webHidden/>
              </w:rPr>
              <w:t>35</w:t>
            </w:r>
            <w:r w:rsidR="001309CA">
              <w:rPr>
                <w:noProof/>
                <w:webHidden/>
              </w:rPr>
              <w:fldChar w:fldCharType="end"/>
            </w:r>
          </w:hyperlink>
        </w:p>
        <w:p w:rsidR="00076801" w:rsidRDefault="00CA3D2B">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2E3E01">
              <w:rPr>
                <w:noProof/>
                <w:webHidden/>
              </w:rPr>
              <w:t>36</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2E3E01">
              <w:rPr>
                <w:noProof/>
                <w:webHidden/>
              </w:rPr>
              <w:t>37</w:t>
            </w:r>
            <w:r w:rsidR="001309CA">
              <w:rPr>
                <w:noProof/>
                <w:webHidden/>
              </w:rPr>
              <w:fldChar w:fldCharType="end"/>
            </w:r>
          </w:hyperlink>
        </w:p>
        <w:p w:rsidR="00076801" w:rsidRDefault="00CA3D2B">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2E3E01">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CA3D2B"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CA3D2B"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CA3D2B"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CA3D2B"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w:t>
      </w:r>
      <w:r w:rsidR="006A0087">
        <w:rPr>
          <w:sz w:val="24"/>
          <w:szCs w:val="24"/>
        </w:rPr>
        <w:t>ljenom ponudom, rev</w:t>
      </w:r>
      <w:r w:rsidRPr="002A584B">
        <w:rPr>
          <w:sz w:val="24"/>
          <w:szCs w:val="24"/>
        </w:rPr>
        <w:t>i</w:t>
      </w:r>
      <w:r w:rsidR="006A0087">
        <w:rPr>
          <w:sz w:val="24"/>
          <w:szCs w:val="24"/>
        </w:rPr>
        <w:t>di</w:t>
      </w:r>
      <w:r w:rsidRPr="002A584B">
        <w:rPr>
          <w:sz w:val="24"/>
          <w:szCs w:val="24"/>
        </w:rPr>
        <w:t>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r w:rsidR="006A0087">
        <w:rPr>
          <w:sz w:val="24"/>
          <w:szCs w:val="24"/>
        </w:rPr>
        <w:t xml:space="preserve">revidirana </w:t>
      </w:r>
      <w:r w:rsidRPr="002A584B">
        <w:rPr>
          <w:sz w:val="24"/>
          <w:szCs w:val="24"/>
        </w:rPr>
        <w:t>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2" w:name="_Toc416435457"/>
      <w:r>
        <w:t xml:space="preserve">3.1.2. Sotverski </w:t>
      </w:r>
      <w:bookmarkEnd w:id="22"/>
      <w:r w:rsidR="0052302C">
        <w:rPr>
          <w:i/>
        </w:rPr>
        <w:t>interface</w:t>
      </w:r>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 xml:space="preserve">3.1.3. Hardverski i komunikacijski </w:t>
      </w:r>
      <w:bookmarkEnd w:id="23"/>
      <w:r w:rsidR="0052302C">
        <w:rPr>
          <w:i/>
        </w:rPr>
        <w:t>interface</w:t>
      </w:r>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Default="00D15AD2" w:rsidP="00D15AD2">
      <w:pPr>
        <w:rPr>
          <w:sz w:val="24"/>
          <w:szCs w:val="24"/>
        </w:rPr>
      </w:pPr>
    </w:p>
    <w:p w:rsidR="007D136B" w:rsidRPr="002A584B" w:rsidRDefault="007D136B"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JMBG</w:t>
            </w:r>
            <w:r w:rsidR="009F38E8" w:rsidRPr="00052AAC">
              <w:rPr>
                <w:rFonts w:asciiTheme="minorHAnsi" w:hAnsiTheme="minorHAnsi"/>
                <w:sz w:val="24"/>
                <w:szCs w:val="24"/>
              </w:rPr>
              <w:t xml:space="preserve"> i broj lične karte moraju </w:t>
            </w:r>
            <w:r w:rsidR="00052AAC">
              <w:rPr>
                <w:rFonts w:asciiTheme="minorHAnsi" w:hAnsiTheme="minorHAnsi"/>
                <w:sz w:val="24"/>
                <w:szCs w:val="24"/>
              </w:rPr>
              <w:t>biti validni (zadovoljavati format definisan zakonskim regulativama BIH)</w:t>
            </w:r>
          </w:p>
          <w:p w:rsidR="000C34FF" w:rsidRPr="00052AAC"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Telefonski broj mora biti izdat od s</w:t>
            </w:r>
            <w:r w:rsidR="00052AAC" w:rsidRPr="00052AAC">
              <w:rPr>
                <w:rFonts w:asciiTheme="minorHAnsi" w:hAnsiTheme="minorHAnsi"/>
                <w:sz w:val="24"/>
                <w:szCs w:val="24"/>
              </w:rPr>
              <w:t>trane BH operatera</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73644E" w:rsidP="00E93BC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w:t>
            </w:r>
            <w:r w:rsidR="00232920">
              <w:rPr>
                <w:rFonts w:asciiTheme="minorHAnsi" w:hAnsiTheme="minorHAnsi"/>
                <w:sz w:val="24"/>
                <w:szCs w:val="24"/>
              </w:rPr>
              <w:t xml:space="preserve"> od strane BH operatera</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5B1081">
              <w:rPr>
                <w:rFonts w:asciiTheme="minorHAnsi" w:hAnsiTheme="minorHAnsi"/>
                <w:sz w:val="24"/>
                <w:szCs w:val="24"/>
              </w:rPr>
              <w:t>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lastRenderedPageBreak/>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052AAC" w:rsidRDefault="00052AAC" w:rsidP="00052AA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52AAC">
              <w:rPr>
                <w:rFonts w:asciiTheme="minorHAnsi" w:hAnsiTheme="minorHAnsi"/>
                <w:sz w:val="24"/>
                <w:szCs w:val="24"/>
              </w:rPr>
              <w:t xml:space="preserve">JMBG i broj lične karte moraju </w:t>
            </w:r>
            <w:r>
              <w:rPr>
                <w:rFonts w:asciiTheme="minorHAnsi" w:hAnsiTheme="minorHAnsi"/>
                <w:sz w:val="24"/>
                <w:szCs w:val="24"/>
              </w:rPr>
              <w:t>biti validni (zadovoljavati format definisan zakonskim regulativama BIH)</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w:t>
            </w:r>
            <w:r w:rsidR="00052AAC">
              <w:rPr>
                <w:rFonts w:asciiTheme="minorHAnsi" w:hAnsiTheme="minorHAnsi"/>
                <w:sz w:val="24"/>
                <w:szCs w:val="24"/>
              </w:rPr>
              <w:t>trane BH operatera</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5D47C0" w:rsidRDefault="005D47C0" w:rsidP="00494AE9">
      <w:pPr>
        <w:pStyle w:val="Heading3"/>
      </w:pPr>
      <w:bookmarkStart w:id="32" w:name="_Toc416435467"/>
    </w:p>
    <w:p w:rsidR="00494AE9" w:rsidRDefault="00076801" w:rsidP="00494AE9">
      <w:pPr>
        <w:pStyle w:val="Heading3"/>
      </w:pPr>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Telefonski broj mora biti izdat od strane BH </w:t>
            </w:r>
            <w:r w:rsidR="00232920">
              <w:rPr>
                <w:rFonts w:ascii="Times New Roman" w:eastAsia="Times New Roman" w:hAnsi="Times New Roman" w:cs="Times New Roman"/>
                <w:sz w:val="24"/>
                <w:szCs w:val="24"/>
              </w:rPr>
              <w:t>operatera</w:t>
            </w:r>
          </w:p>
          <w:p w:rsidR="006D2213" w:rsidRPr="00232920"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32920">
              <w:rPr>
                <w:rFonts w:ascii="Times New Roman" w:eastAsia="Times New Roman" w:hAnsi="Times New Roman" w:cs="Times New Roman"/>
                <w:sz w:val="24"/>
                <w:szCs w:val="24"/>
              </w:rPr>
              <w:t xml:space="preserve"> 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Default="006D2213" w:rsidP="006D2213"/>
    <w:p w:rsidR="00E93BC9" w:rsidRPr="006D2213" w:rsidRDefault="00E93BC9"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Telefonski broj mora bi</w:t>
            </w:r>
            <w:r w:rsidR="00232920">
              <w:rPr>
                <w:rFonts w:asciiTheme="minorHAnsi" w:eastAsia="Times New Roman" w:hAnsiTheme="minorHAnsi" w:cstheme="minorHAnsi"/>
                <w:sz w:val="24"/>
                <w:szCs w:val="24"/>
              </w:rPr>
              <w:t>ti izdat od strane BH operatera</w:t>
            </w:r>
            <w:r w:rsidRPr="001A33BE">
              <w:rPr>
                <w:rFonts w:asciiTheme="minorHAnsi" w:eastAsia="Times New Roman" w:hAnsiTheme="minorHAnsi" w:cstheme="minorHAnsi"/>
                <w:sz w:val="24"/>
                <w:szCs w:val="24"/>
              </w:rPr>
              <w:t xml:space="preserve">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5D47C0" w:rsidRDefault="005D47C0" w:rsidP="007751CB">
      <w:pPr>
        <w:pStyle w:val="Heading3"/>
        <w:rPr>
          <w:rFonts w:asciiTheme="minorHAnsi" w:eastAsiaTheme="minorHAnsi" w:hAnsiTheme="minorHAnsi" w:cstheme="minorBidi"/>
          <w:color w:val="auto"/>
          <w:sz w:val="22"/>
          <w:szCs w:val="22"/>
        </w:rPr>
      </w:pPr>
      <w:bookmarkStart w:id="34" w:name="_Toc416435469"/>
    </w:p>
    <w:p w:rsidR="005D47C0" w:rsidRDefault="005D47C0" w:rsidP="007751CB">
      <w:pPr>
        <w:pStyle w:val="Heading3"/>
        <w:rPr>
          <w:rFonts w:asciiTheme="minorHAnsi" w:eastAsiaTheme="minorHAnsi" w:hAnsiTheme="minorHAnsi" w:cstheme="minorBidi"/>
          <w:color w:val="auto"/>
          <w:sz w:val="22"/>
          <w:szCs w:val="22"/>
        </w:rPr>
      </w:pPr>
    </w:p>
    <w:p w:rsidR="007751CB" w:rsidRDefault="00E93BC9" w:rsidP="007751CB">
      <w:pPr>
        <w:pStyle w:val="Heading3"/>
      </w:pPr>
      <w:r>
        <w:t>3</w:t>
      </w:r>
      <w:r w:rsidR="00076801">
        <w:t>.2.10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93BC9" w:rsidRDefault="007751CB" w:rsidP="00E93BC9">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r w:rsidR="00E93BC9">
              <w:rPr>
                <w:rFonts w:asciiTheme="minorHAnsi" w:hAnsiTheme="minorHAnsi"/>
                <w:sz w:val="24"/>
                <w:szCs w:val="24"/>
              </w:rPr>
              <w:t xml:space="preserve">validaciju </w:t>
            </w:r>
            <w:r w:rsidRPr="00E93BC9">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C8253E" w:rsidRDefault="005D47C0" w:rsidP="00C8253E">
      <w:pPr>
        <w:pStyle w:val="Heading3"/>
      </w:pPr>
      <w:bookmarkStart w:id="35" w:name="_Toc416435470"/>
      <w:r>
        <w:lastRenderedPageBreak/>
        <w:t>3</w:t>
      </w:r>
      <w:r w:rsidR="00076801">
        <w:t>.2.11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5D47C0" w:rsidRDefault="005D47C0" w:rsidP="00994483">
      <w:pPr>
        <w:pStyle w:val="Heading3"/>
      </w:pPr>
      <w:bookmarkStart w:id="36" w:name="_Toc416435471"/>
    </w:p>
    <w:p w:rsidR="005D47C0" w:rsidRDefault="005D47C0" w:rsidP="00994483">
      <w:pPr>
        <w:pStyle w:val="Heading3"/>
      </w:pPr>
    </w:p>
    <w:p w:rsidR="00994483" w:rsidRDefault="00076801" w:rsidP="00994483">
      <w:pPr>
        <w:pStyle w:val="Heading3"/>
      </w:pPr>
      <w:r>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t>3.2.13</w:t>
      </w:r>
      <w:r w:rsidR="00481239" w:rsidRPr="00481239">
        <w:t xml:space="preserve">. Pretraga </w:t>
      </w:r>
      <w:r w:rsidR="00720B3F">
        <w:t xml:space="preserve">velikih </w:t>
      </w:r>
      <w:r w:rsidR="00481239" w:rsidRPr="00481239">
        <w:t>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r w:rsidRPr="00481239">
              <w:rPr>
                <w:b w:val="0"/>
                <w:sz w:val="24"/>
                <w:szCs w:val="24"/>
              </w:rPr>
              <w:t>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8" w:name="_Toc416435473"/>
      <w:r w:rsidRPr="00481239">
        <w:lastRenderedPageBreak/>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Tip(uzemni/nadzemni,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lastRenderedPageBreak/>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ID</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lastRenderedPageBreak/>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izvršiti baždarenje.</w:t>
            </w:r>
            <w:r w:rsidR="006930F9">
              <w:rPr>
                <w:b w:val="0"/>
                <w:sz w:val="24"/>
                <w:szCs w:val="24"/>
              </w:rPr>
              <w:t xml:space="preserve"> Interval baždarenja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isticanju vremena baždarenja</w:t>
            </w:r>
            <w:r w:rsidR="001A33BE">
              <w:rPr>
                <w:sz w:val="24"/>
                <w:szCs w:val="24"/>
              </w:rPr>
              <w:t xml:space="preserve"> sa prikazom podataka o rezervoarima(ili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Datum zadnjeg baždarenja</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1"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620010">
        <w:t xml:space="preserve"> svih plinskih rezervoara</w:t>
      </w:r>
      <w:r w:rsidR="00124622">
        <w:t xml:space="preserve"> iznajmljenih </w:t>
      </w:r>
      <w:r w:rsidR="00B657F3" w:rsidRPr="00071EEC">
        <w:t>komitent</w:t>
      </w:r>
      <w:bookmarkEnd w:id="41"/>
      <w:r w:rsidR="00124622">
        <w:t>u</w:t>
      </w:r>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620010" w:rsidRPr="00620010"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vrši odabir komi</w:t>
            </w:r>
            <w:r w:rsidR="00620010">
              <w:rPr>
                <w:b w:val="0"/>
                <w:sz w:val="24"/>
                <w:szCs w:val="24"/>
              </w:rPr>
              <w:t xml:space="preserve">tenta. </w:t>
            </w:r>
            <w:r w:rsidR="00620010">
              <w:rPr>
                <w:b w:val="0"/>
              </w:rPr>
              <w:t xml:space="preserve">Sistem </w:t>
            </w:r>
            <w:r w:rsidR="00124622">
              <w:rPr>
                <w:b w:val="0"/>
              </w:rPr>
              <w:t>prikazuje sve  rezervoare iznajmljenih</w:t>
            </w:r>
            <w:r w:rsidR="00620010">
              <w:rPr>
                <w:b w:val="0"/>
              </w:rPr>
              <w:t xml:space="preserve"> tom komitentu i lokacije na kojima se nalaze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Tablearni </w:t>
            </w:r>
            <w:r w:rsidR="005D47C0" w:rsidRPr="00620010">
              <w:rPr>
                <w:sz w:val="24"/>
                <w:szCs w:val="24"/>
              </w:rPr>
              <w:t xml:space="preserve">prikaz </w:t>
            </w:r>
            <w:r w:rsidR="005D47C0" w:rsidRPr="00620010">
              <w:t>rezervoar</w:t>
            </w:r>
            <w:r w:rsidR="005D47C0">
              <w:t xml:space="preserve">a </w:t>
            </w:r>
            <w:r w:rsidR="00124622">
              <w:t xml:space="preserve"> iznajmljenih</w:t>
            </w:r>
            <w:r w:rsidR="005D47C0" w:rsidRPr="00620010">
              <w:t xml:space="preserve"> tom komitentu i lokacije na kojima se nalaze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620010" w:rsidRDefault="00B657F3" w:rsidP="00620010">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w:t>
            </w:r>
            <w:r w:rsidR="00620010">
              <w:rPr>
                <w:rFonts w:asciiTheme="minorHAnsi" w:hAnsiTheme="minorHAnsi"/>
                <w:sz w:val="24"/>
                <w:szCs w:val="24"/>
              </w:rPr>
              <w:t xml:space="preserve"> da li se parametri nalaze</w:t>
            </w:r>
            <w:r w:rsidRPr="00B657F3">
              <w:rPr>
                <w:rFonts w:asciiTheme="minorHAnsi" w:hAnsiTheme="minorHAnsi"/>
                <w:sz w:val="24"/>
                <w:szCs w:val="24"/>
              </w:rPr>
              <w:t xml:space="preserve"> u bazi podataka</w:t>
            </w:r>
          </w:p>
          <w:p w:rsidR="00620010" w:rsidRPr="00620010" w:rsidRDefault="00620010" w:rsidP="00620010">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20010">
              <w:rPr>
                <w:rFonts w:asciiTheme="minorHAnsi" w:hAnsiTheme="minorHAnsi"/>
                <w:sz w:val="24"/>
                <w:szCs w:val="24"/>
              </w:rPr>
              <w:t>Sistem vrši prikaz</w:t>
            </w:r>
            <w:r w:rsidR="00AC1B7A">
              <w:rPr>
                <w:rFonts w:asciiTheme="minorHAnsi" w:hAnsiTheme="minorHAnsi"/>
                <w:sz w:val="24"/>
                <w:szCs w:val="24"/>
              </w:rPr>
              <w:t xml:space="preserve"> rezervoara iznajmljenih tom komitentu i lokacije na kojima se nalaze</w:t>
            </w:r>
            <w:bookmarkStart w:id="42" w:name="_GoBack"/>
            <w:bookmarkEnd w:id="42"/>
            <w:r w:rsidRPr="00620010">
              <w:rPr>
                <w:rFonts w:asciiTheme="minorHAnsi" w:hAnsiTheme="minorHAnsi"/>
                <w:sz w:val="24"/>
                <w:szCs w:val="24"/>
              </w:rPr>
              <w:t xml:space="preserve"> </w:t>
            </w:r>
          </w:p>
          <w:p w:rsidR="00620010" w:rsidRPr="00B657F3" w:rsidRDefault="00620010" w:rsidP="00620010">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3" w:name="_Toc416435477"/>
      <w:r>
        <w:lastRenderedPageBreak/>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sidR="00407174">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B</w:t>
            </w:r>
            <w:r w:rsidR="00FF1CAE">
              <w:rPr>
                <w:rFonts w:cstheme="minorHAnsi"/>
                <w:b w:val="0"/>
                <w:sz w:val="24"/>
                <w:szCs w:val="24"/>
              </w:rPr>
              <w:t>aždarenje</w:t>
            </w:r>
            <w:r>
              <w:rPr>
                <w:rFonts w:cstheme="minorHAnsi"/>
                <w:b w:val="0"/>
                <w:sz w:val="24"/>
                <w:szCs w:val="24"/>
              </w:rPr>
              <w:t>(datum zadnjeg baždarenja, i interval baždarenja)</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Serijski broj velikog plinskog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2B1BF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2B1BF2" w:rsidRDefault="00B657F3" w:rsidP="00B657F3">
            <w:pPr>
              <w:cnfStyle w:val="000000100000" w:firstRow="0" w:lastRow="0" w:firstColumn="0" w:lastColumn="0" w:oddVBand="0" w:evenVBand="0" w:oddHBand="1" w:evenHBand="0" w:firstRowFirstColumn="0" w:firstRowLastColumn="0" w:lastRowFirstColumn="0" w:lastRowLastColumn="0"/>
            </w:pPr>
            <w:r>
              <w:t>2</w:t>
            </w:r>
          </w:p>
        </w:tc>
      </w:tr>
    </w:tbl>
    <w:p w:rsidR="005D47C0" w:rsidRDefault="005D47C0" w:rsidP="00071EEC">
      <w:pPr>
        <w:pStyle w:val="Heading3"/>
      </w:pPr>
      <w:bookmarkStart w:id="44" w:name="_Toc416435478"/>
    </w:p>
    <w:p w:rsidR="00D15AD2" w:rsidRDefault="00076801" w:rsidP="00071EEC">
      <w:pPr>
        <w:pStyle w:val="Heading3"/>
      </w:pPr>
      <w:r>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r w:rsidR="005D47C0">
              <w:rPr>
                <w:b w:val="0"/>
                <w:sz w:val="24"/>
                <w:szCs w:val="24"/>
              </w:rPr>
              <w:t xml:space="preserve"> </w:t>
            </w:r>
            <w:r w:rsidRPr="00B657F3">
              <w:rPr>
                <w:b w:val="0"/>
                <w:sz w:val="24"/>
                <w:szCs w:val="24"/>
              </w:rPr>
              <w:t>Izvještaj daje pregled s</w:t>
            </w:r>
            <w:r w:rsidR="00D167E9">
              <w:rPr>
                <w:b w:val="0"/>
                <w:sz w:val="24"/>
                <w:szCs w:val="24"/>
              </w:rPr>
              <w:t>vih plinskih rezervoara ili boca</w:t>
            </w:r>
            <w:r w:rsidRPr="00B657F3">
              <w:rPr>
                <w:b w:val="0"/>
                <w:sz w:val="24"/>
                <w:szCs w:val="24"/>
              </w:rPr>
              <w:t xml:space="preserve"> koji su izdati ili prodati odabranom komitentu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Interval baždarenja</w:t>
            </w:r>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Datum zadnjeg baždarenja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5"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3.3. Nefunkcionalni zahtjevi i osobine sistema</w:t>
      </w:r>
      <w:bookmarkEnd w:id="46"/>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5D47C0" w:rsidRDefault="005D47C0" w:rsidP="006F4810">
      <w:pPr>
        <w:pStyle w:val="Heading2"/>
      </w:pPr>
      <w:bookmarkStart w:id="47" w:name="_Toc416435481"/>
    </w:p>
    <w:p w:rsidR="005D47C0" w:rsidRDefault="005D47C0" w:rsidP="006F4810">
      <w:pPr>
        <w:pStyle w:val="Heading2"/>
      </w:pPr>
    </w:p>
    <w:p w:rsidR="005D47C0" w:rsidRDefault="005D47C0" w:rsidP="006F4810">
      <w:pPr>
        <w:pStyle w:val="Heading2"/>
      </w:pPr>
    </w:p>
    <w:p w:rsidR="005D47C0" w:rsidRDefault="005D47C0" w:rsidP="006F4810">
      <w:pPr>
        <w:pStyle w:val="Heading2"/>
      </w:pPr>
    </w:p>
    <w:p w:rsidR="005D47C0" w:rsidRDefault="005D47C0" w:rsidP="005D47C0"/>
    <w:p w:rsidR="005D47C0" w:rsidRPr="005D47C0" w:rsidRDefault="005D47C0" w:rsidP="005D47C0"/>
    <w:p w:rsidR="006F4810" w:rsidRDefault="006F4810" w:rsidP="006F4810">
      <w:pPr>
        <w:pStyle w:val="Heading2"/>
      </w:pPr>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D2B" w:rsidRDefault="00CA3D2B" w:rsidP="003B481E">
      <w:pPr>
        <w:spacing w:after="0" w:line="240" w:lineRule="auto"/>
      </w:pPr>
      <w:r>
        <w:separator/>
      </w:r>
    </w:p>
  </w:endnote>
  <w:endnote w:type="continuationSeparator" w:id="0">
    <w:p w:rsidR="00CA3D2B" w:rsidRDefault="00CA3D2B"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EndPr/>
    <w:sdtContent>
      <w:p w:rsidR="00620010" w:rsidRDefault="00620010">
        <w:pPr>
          <w:pStyle w:val="Footer"/>
          <w:jc w:val="center"/>
        </w:pPr>
        <w:r>
          <w:fldChar w:fldCharType="begin"/>
        </w:r>
        <w:r>
          <w:instrText>PAGE   \* MERGEFORMAT</w:instrText>
        </w:r>
        <w:r>
          <w:fldChar w:fldCharType="separate"/>
        </w:r>
        <w:r w:rsidR="002E3E01">
          <w:rPr>
            <w:noProof/>
          </w:rPr>
          <w:t>3</w:t>
        </w:r>
        <w:r>
          <w:fldChar w:fldCharType="end"/>
        </w:r>
      </w:p>
    </w:sdtContent>
  </w:sdt>
  <w:p w:rsidR="00620010" w:rsidRDefault="00620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D2B" w:rsidRDefault="00CA3D2B" w:rsidP="003B481E">
      <w:pPr>
        <w:spacing w:after="0" w:line="240" w:lineRule="auto"/>
      </w:pPr>
      <w:r>
        <w:separator/>
      </w:r>
    </w:p>
  </w:footnote>
  <w:footnote w:type="continuationSeparator" w:id="0">
    <w:p w:rsidR="00CA3D2B" w:rsidRDefault="00CA3D2B"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2AAC"/>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413"/>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0D3"/>
    <w:rsid w:val="000F26EE"/>
    <w:rsid w:val="000F46B0"/>
    <w:rsid w:val="000F6343"/>
    <w:rsid w:val="000F6C4D"/>
    <w:rsid w:val="001035F6"/>
    <w:rsid w:val="001044A5"/>
    <w:rsid w:val="00104FAE"/>
    <w:rsid w:val="001101D3"/>
    <w:rsid w:val="00110419"/>
    <w:rsid w:val="00112FA4"/>
    <w:rsid w:val="00115850"/>
    <w:rsid w:val="001172B6"/>
    <w:rsid w:val="001221DA"/>
    <w:rsid w:val="00124622"/>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2920"/>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1BF2"/>
    <w:rsid w:val="002B28F0"/>
    <w:rsid w:val="002B3BFB"/>
    <w:rsid w:val="002B7117"/>
    <w:rsid w:val="002B78A3"/>
    <w:rsid w:val="002C1043"/>
    <w:rsid w:val="002D1045"/>
    <w:rsid w:val="002D1939"/>
    <w:rsid w:val="002D20A5"/>
    <w:rsid w:val="002D6A16"/>
    <w:rsid w:val="002D77AE"/>
    <w:rsid w:val="002D7D56"/>
    <w:rsid w:val="002E3E01"/>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07174"/>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47C0"/>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1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0087"/>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971AE"/>
    <w:rsid w:val="007A09FE"/>
    <w:rsid w:val="007A0F53"/>
    <w:rsid w:val="007A17E0"/>
    <w:rsid w:val="007A2952"/>
    <w:rsid w:val="007A3829"/>
    <w:rsid w:val="007A4992"/>
    <w:rsid w:val="007A5A08"/>
    <w:rsid w:val="007B024B"/>
    <w:rsid w:val="007B528E"/>
    <w:rsid w:val="007C0506"/>
    <w:rsid w:val="007C0536"/>
    <w:rsid w:val="007C483C"/>
    <w:rsid w:val="007D136B"/>
    <w:rsid w:val="007D4DDA"/>
    <w:rsid w:val="007D5662"/>
    <w:rsid w:val="007D61BA"/>
    <w:rsid w:val="007D61EA"/>
    <w:rsid w:val="007E061E"/>
    <w:rsid w:val="007E2B31"/>
    <w:rsid w:val="007E7F7C"/>
    <w:rsid w:val="007F1EAE"/>
    <w:rsid w:val="007F45CB"/>
    <w:rsid w:val="007F5A31"/>
    <w:rsid w:val="00802133"/>
    <w:rsid w:val="0080322B"/>
    <w:rsid w:val="00804422"/>
    <w:rsid w:val="00804C7F"/>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77B46"/>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B7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46C5"/>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1414"/>
    <w:rsid w:val="00C8253E"/>
    <w:rsid w:val="00C85FCC"/>
    <w:rsid w:val="00C90A8C"/>
    <w:rsid w:val="00C91B0A"/>
    <w:rsid w:val="00C9257A"/>
    <w:rsid w:val="00C960E7"/>
    <w:rsid w:val="00C97298"/>
    <w:rsid w:val="00CA1906"/>
    <w:rsid w:val="00CA1E0D"/>
    <w:rsid w:val="00CA3D2B"/>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66E8"/>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3BC9"/>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4649D-C4F8-40FC-9DE7-B9AA2AF7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5832</Words>
  <Characters>33243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Nadin</cp:lastModifiedBy>
  <cp:revision>43</cp:revision>
  <cp:lastPrinted>2015-04-29T02:54:00Z</cp:lastPrinted>
  <dcterms:created xsi:type="dcterms:W3CDTF">2015-04-10T13:21:00Z</dcterms:created>
  <dcterms:modified xsi:type="dcterms:W3CDTF">2015-04-29T02:54:00Z</dcterms:modified>
</cp:coreProperties>
</file>