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Times New Roman" w:hAnsi="Times New Roman"/>
          <w:b/>
          <w:sz w:val="40"/>
        </w:rPr>
        <w:t>SOFTWARE REQUIREMENTS SPECIFICATION</w:t>
      </w:r>
    </w:p>
    <w:p>
      <w:pPr>
        <w:jc w:val="center"/>
      </w:pPr>
      <w:r>
        <w:rPr>
          <w:b/>
          <w:sz w:val="32"/>
        </w:rPr>
        <w:t>Vehicle Parking System</w:t>
      </w:r>
    </w:p>
    <w:p>
      <w:pPr>
        <w:spacing w:before="360"/>
        <w:jc w:val="center"/>
      </w:pPr>
      <w:r>
        <w:rPr>
          <w:sz w:val="24"/>
        </w:rPr>
        <w:t>Software Engineering | Mini-Project Deliverable - Part 1</w:t>
      </w:r>
    </w:p>
    <w:p>
      <w:pPr>
        <w:spacing w:before="600"/>
        <w:jc w:val="center"/>
      </w:pPr>
      <w:r>
        <w:rPr>
          <w:sz w:val="22"/>
        </w:rPr>
        <w:t>Version: 2.0</w:t>
        <w:br/>
        <w:t>Standard: IEEE 830-1998</w:t>
        <w:br/>
        <w:t>Date of Submission: 28 September 2026</w:t>
      </w:r>
    </w:p>
    <w:p>
      <w:pPr>
        <w:spacing w:before="500" w:after="120"/>
        <w:jc w:val="center"/>
      </w:pPr>
      <w:r>
        <w:rPr>
          <w:b/>
          <w:sz w:val="24"/>
        </w:rPr>
        <w:t>TEAM 10</w:t>
      </w:r>
    </w:p>
    <w:p>
      <w:pPr>
        <w:spacing w:before="0" w:after="0"/>
        <w:jc w:val="center"/>
      </w:pPr>
      <w:r>
        <w:rPr>
          <w:b w:val="0"/>
          <w:sz w:val="22"/>
        </w:rPr>
        <w:t>Ananya V (PES1UG24CS061)</w:t>
      </w:r>
    </w:p>
    <w:p>
      <w:pPr>
        <w:spacing w:before="0" w:after="0"/>
        <w:jc w:val="center"/>
      </w:pPr>
      <w:r>
        <w:rPr>
          <w:b w:val="0"/>
          <w:sz w:val="22"/>
        </w:rPr>
        <w:t>Amogh Sharma (PES1UG24CS053)</w:t>
      </w:r>
    </w:p>
    <w:p>
      <w:pPr>
        <w:spacing w:before="0" w:after="0"/>
        <w:jc w:val="center"/>
      </w:pPr>
      <w:r>
        <w:rPr>
          <w:b w:val="0"/>
          <w:sz w:val="22"/>
        </w:rPr>
        <w:t>Nagaraja Gari Ram Sai Govind (PES1UG24CS912)</w:t>
      </w:r>
    </w:p>
    <w:p>
      <w:r>
        <w:br w:type="page"/>
      </w:r>
    </w:p>
    <w:p>
      <w:pPr>
        <w:pStyle w:val="Heading1"/>
        <w:spacing w:before="160" w:after="60"/>
      </w:pPr>
      <w:r>
        <w:t>Document Control</w:t>
      </w:r>
    </w:p>
    <w:p>
      <w:pPr>
        <w:spacing w:after="80" w:line="252" w:lineRule="auto"/>
      </w:pPr>
      <w:r>
        <w:t>Problem Statement PS-10: VEHICLE PARKING SYSTEM</w:t>
      </w:r>
    </w:p>
    <w:p>
      <w:pPr>
        <w:spacing w:after="80" w:line="252" w:lineRule="auto"/>
      </w:pPr>
      <w:r>
        <w:t>A software-only parking management system with smart slot assignment and predictive availability</w:t>
      </w:r>
    </w:p>
    <w:p>
      <w:pPr>
        <w:spacing w:after="80" w:line="252" w:lineRule="auto"/>
      </w:pPr>
      <w:r>
        <w:t>Stack: Python (Flask) | SQLite | HTML, CSS, JavaScript</w:t>
      </w:r>
    </w:p>
    <w:p>
      <w:pPr>
        <w:pStyle w:val="Heading1"/>
        <w:keepNext/>
        <w:spacing w:before="160" w:after="60"/>
      </w:pPr>
      <w:r>
        <w:t>Revision History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990"/>
        <w:gridCol w:w="1292"/>
        <w:gridCol w:w="6579"/>
        <w:gridCol w:w="931"/>
      </w:tblGrid>
      <w:tr>
        <w:trPr>
          <w:cantSplit/>
          <w:tblHeader/>
        </w:trPr>
        <w:tc>
          <w:tcPr>
            <w:tcW w:type="dxa" w:w="99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Version</w:t>
            </w:r>
          </w:p>
        </w:tc>
        <w:tc>
          <w:tcPr>
            <w:tcW w:type="dxa" w:w="129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Date</w:t>
            </w:r>
          </w:p>
        </w:tc>
        <w:tc>
          <w:tcPr>
            <w:tcW w:type="dxa" w:w="6579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  <w:tc>
          <w:tcPr>
            <w:tcW w:type="dxa" w:w="9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Author</w:t>
            </w:r>
          </w:p>
        </w:tc>
      </w:tr>
      <w:tr>
        <w:trPr>
          <w:cantSplit/>
        </w:trPr>
        <w:tc>
          <w:tcPr>
            <w:tcW w:type="dxa" w:w="99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SRS 1.0</w:t>
            </w:r>
          </w:p>
        </w:tc>
        <w:tc>
          <w:tcPr>
            <w:tcW w:type="dxa" w:w="129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05 Sep 2026</w:t>
            </w:r>
          </w:p>
        </w:tc>
        <w:tc>
          <w:tcPr>
            <w:tcW w:type="dxa" w:w="6579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Initial SRS draft.</w:t>
            </w:r>
          </w:p>
        </w:tc>
        <w:tc>
          <w:tcPr>
            <w:tcW w:type="dxa" w:w="9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Team 10</w:t>
            </w:r>
          </w:p>
        </w:tc>
      </w:tr>
      <w:tr>
        <w:trPr>
          <w:cantSplit/>
        </w:trPr>
        <w:tc>
          <w:tcPr>
            <w:tcW w:type="dxa" w:w="99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SRS 1.1</w:t>
            </w:r>
          </w:p>
        </w:tc>
        <w:tc>
          <w:tcPr>
            <w:tcW w:type="dxa" w:w="129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12 Sep 2026</w:t>
            </w:r>
          </w:p>
        </w:tc>
        <w:tc>
          <w:tcPr>
            <w:tcW w:type="dxa" w:w="6579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Added smart slot assignment and predictive availability.</w:t>
            </w:r>
          </w:p>
        </w:tc>
        <w:tc>
          <w:tcPr>
            <w:tcW w:type="dxa" w:w="9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Team 10</w:t>
            </w:r>
          </w:p>
        </w:tc>
      </w:tr>
      <w:tr>
        <w:trPr>
          <w:cantSplit/>
        </w:trPr>
        <w:tc>
          <w:tcPr>
            <w:tcW w:type="dxa" w:w="99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SRS 2.0</w:t>
            </w:r>
          </w:p>
        </w:tc>
        <w:tc>
          <w:tcPr>
            <w:tcW w:type="dxa" w:w="129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26 Sep 2026</w:t>
            </w:r>
          </w:p>
        </w:tc>
        <w:tc>
          <w:tcPr>
            <w:tcW w:type="dxa" w:w="657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Measurable requirements with IDs, use case diagram, full security section, TBDs resolved.</w:t>
            </w:r>
          </w:p>
        </w:tc>
        <w:tc>
          <w:tcPr>
            <w:tcW w:type="dxa" w:w="93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Team 10</w:t>
            </w:r>
          </w:p>
        </w:tc>
      </w:tr>
    </w:tbl>
    <w:p/>
    <w:p>
      <w:pPr>
        <w:pStyle w:val="Heading1"/>
        <w:keepNext/>
        <w:spacing w:before="160" w:after="60"/>
      </w:pPr>
      <w:r>
        <w:t>Approvals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3082"/>
        <w:gridCol w:w="1509"/>
        <w:gridCol w:w="2947"/>
        <w:gridCol w:w="2254"/>
      </w:tblGrid>
      <w:tr>
        <w:trPr>
          <w:cantSplit/>
          <w:tblHeader/>
        </w:trPr>
        <w:tc>
          <w:tcPr>
            <w:tcW w:type="dxa" w:w="308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Role</w:t>
            </w:r>
          </w:p>
        </w:tc>
        <w:tc>
          <w:tcPr>
            <w:tcW w:type="dxa" w:w="1509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294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Signature / Email</w:t>
            </w:r>
          </w:p>
        </w:tc>
        <w:tc>
          <w:tcPr>
            <w:tcW w:type="dxa" w:w="225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Date</w:t>
            </w:r>
          </w:p>
        </w:tc>
      </w:tr>
      <w:tr>
        <w:trPr>
          <w:cantSplit/>
        </w:trPr>
        <w:tc>
          <w:tcPr>
            <w:tcW w:type="dxa" w:w="308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Course Coordinator</w:t>
            </w:r>
          </w:p>
        </w:tc>
        <w:tc>
          <w:tcPr>
            <w:tcW w:type="dxa" w:w="1509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294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225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08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Project Guide</w:t>
            </w:r>
          </w:p>
        </w:tc>
        <w:tc>
          <w:tcPr>
            <w:tcW w:type="dxa" w:w="1509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294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225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08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Team Lead</w:t>
            </w:r>
          </w:p>
        </w:tc>
        <w:tc>
          <w:tcPr>
            <w:tcW w:type="dxa" w:w="1509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Team 10</w:t>
            </w:r>
          </w:p>
        </w:tc>
        <w:tc>
          <w:tcPr>
            <w:tcW w:type="dxa" w:w="294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Digital Submission</w:t>
            </w:r>
          </w:p>
        </w:tc>
        <w:tc>
          <w:tcPr>
            <w:tcW w:type="dxa" w:w="225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28 Sep 2026</w:t>
            </w:r>
          </w:p>
        </w:tc>
      </w:tr>
      <w:tr>
        <w:trPr>
          <w:cantSplit/>
        </w:trPr>
        <w:tc>
          <w:tcPr>
            <w:tcW w:type="dxa" w:w="308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Team Representative</w:t>
            </w:r>
          </w:p>
        </w:tc>
        <w:tc>
          <w:tcPr>
            <w:tcW w:type="dxa" w:w="150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Team 10</w:t>
            </w:r>
          </w:p>
        </w:tc>
        <w:tc>
          <w:tcPr>
            <w:tcW w:type="dxa" w:w="294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Digital Submission</w:t>
            </w:r>
          </w:p>
        </w:tc>
        <w:tc>
          <w:tcPr>
            <w:tcW w:type="dxa" w:w="22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28 Sep 2026</w:t>
            </w:r>
          </w:p>
        </w:tc>
      </w:tr>
    </w:tbl>
    <w:p/>
    <w:p>
      <w:pPr>
        <w:pStyle w:val="Heading1"/>
        <w:pageBreakBefore/>
        <w:spacing w:before="160" w:after="60"/>
      </w:pPr>
      <w:r>
        <w:t>Table of Contents</w:t>
      </w:r>
    </w:p>
    <w:p>
      <w:pPr>
        <w:spacing w:after="40"/>
        <w:ind w:left="0"/>
      </w:pPr>
      <w:r>
        <w:t>1. Introduction</w:t>
      </w:r>
    </w:p>
    <w:p>
      <w:pPr>
        <w:spacing w:after="40"/>
        <w:ind w:left="360"/>
      </w:pPr>
      <w:r>
        <w:t xml:space="preserve">  1.1 Purpose</w:t>
      </w:r>
    </w:p>
    <w:p>
      <w:pPr>
        <w:spacing w:after="40"/>
        <w:ind w:left="360"/>
      </w:pPr>
      <w:r>
        <w:t xml:space="preserve">  1.2 Document Conventions</w:t>
      </w:r>
    </w:p>
    <w:p>
      <w:pPr>
        <w:spacing w:after="40"/>
        <w:ind w:left="360"/>
      </w:pPr>
      <w:r>
        <w:t xml:space="preserve">  1.3 Intended Audience and Reading Suggestions</w:t>
      </w:r>
    </w:p>
    <w:p>
      <w:pPr>
        <w:spacing w:after="40"/>
        <w:ind w:left="360"/>
      </w:pPr>
      <w:r>
        <w:t xml:space="preserve">  1.4 Product Scope</w:t>
      </w:r>
    </w:p>
    <w:p>
      <w:pPr>
        <w:spacing w:after="40"/>
        <w:ind w:left="360"/>
      </w:pPr>
      <w:r>
        <w:t xml:space="preserve">  1.5 References</w:t>
      </w:r>
    </w:p>
    <w:p>
      <w:pPr>
        <w:spacing w:after="40"/>
        <w:ind w:left="0"/>
      </w:pPr>
      <w:r>
        <w:t>2. Overall Description</w:t>
      </w:r>
    </w:p>
    <w:p>
      <w:pPr>
        <w:spacing w:after="40"/>
        <w:ind w:left="360"/>
      </w:pPr>
      <w:r>
        <w:t xml:space="preserve">  2.1 Product Perspective</w:t>
      </w:r>
    </w:p>
    <w:p>
      <w:pPr>
        <w:spacing w:after="40"/>
        <w:ind w:left="360"/>
      </w:pPr>
      <w:r>
        <w:t xml:space="preserve">  2.2 Product Functions</w:t>
      </w:r>
    </w:p>
    <w:p>
      <w:pPr>
        <w:spacing w:after="40"/>
        <w:ind w:left="360"/>
      </w:pPr>
      <w:r>
        <w:t xml:space="preserve">  2.3 User Classes and Characteristics</w:t>
      </w:r>
    </w:p>
    <w:p>
      <w:pPr>
        <w:spacing w:after="40"/>
        <w:ind w:left="360"/>
      </w:pPr>
      <w:r>
        <w:t xml:space="preserve">  2.4 Operating Environment</w:t>
      </w:r>
    </w:p>
    <w:p>
      <w:pPr>
        <w:spacing w:after="40"/>
        <w:ind w:left="360"/>
      </w:pPr>
      <w:r>
        <w:t xml:space="preserve">  2.5 Design and Implementation Constraints</w:t>
      </w:r>
    </w:p>
    <w:p>
      <w:pPr>
        <w:spacing w:after="40"/>
        <w:ind w:left="360"/>
      </w:pPr>
      <w:r>
        <w:t xml:space="preserve">  2.6 User Documentation</w:t>
      </w:r>
    </w:p>
    <w:p>
      <w:pPr>
        <w:spacing w:after="40"/>
        <w:ind w:left="360"/>
      </w:pPr>
      <w:r>
        <w:t xml:space="preserve">  2.7 Assumptions and Dependencies</w:t>
      </w:r>
    </w:p>
    <w:p>
      <w:pPr>
        <w:spacing w:after="40"/>
        <w:ind w:left="0"/>
      </w:pPr>
      <w:r>
        <w:t>3. External Interfaces</w:t>
      </w:r>
    </w:p>
    <w:p>
      <w:pPr>
        <w:spacing w:after="40"/>
        <w:ind w:left="0"/>
      </w:pPr>
      <w:r>
        <w:t>4. System Features (Detailed)</w:t>
      </w:r>
    </w:p>
    <w:p>
      <w:pPr>
        <w:spacing w:after="40"/>
        <w:ind w:left="0"/>
      </w:pPr>
      <w:r>
        <w:t>5. Non-Functional Requirements (Detailed)</w:t>
      </w:r>
    </w:p>
    <w:p>
      <w:pPr>
        <w:spacing w:after="40"/>
        <w:ind w:left="0"/>
      </w:pPr>
      <w:r>
        <w:t>6. Quality Attributes &amp; Acceptance Tests</w:t>
      </w:r>
    </w:p>
    <w:p>
      <w:pPr>
        <w:spacing w:after="40"/>
        <w:ind w:left="0"/>
      </w:pPr>
      <w:r>
        <w:t>7. UML Use-Case Diagram</w:t>
      </w:r>
    </w:p>
    <w:p>
      <w:pPr>
        <w:spacing w:after="40"/>
        <w:ind w:left="0"/>
      </w:pPr>
      <w:r>
        <w:t>8. Requirements Traceability Matrix</w:t>
      </w:r>
    </w:p>
    <w:p>
      <w:pPr>
        <w:spacing w:after="40"/>
        <w:ind w:left="0"/>
      </w:pPr>
      <w:r>
        <w:t>9. Other Requirements</w:t>
      </w:r>
    </w:p>
    <w:p>
      <w:pPr>
        <w:spacing w:after="40"/>
        <w:ind w:left="0"/>
      </w:pPr>
      <w:r>
        <w:t>Appendix A: Glossary</w:t>
      </w:r>
    </w:p>
    <w:p>
      <w:pPr>
        <w:spacing w:after="40"/>
        <w:ind w:left="0"/>
      </w:pPr>
      <w:r>
        <w:t>Appendix B: Analysis Models</w:t>
      </w:r>
    </w:p>
    <w:p>
      <w:pPr>
        <w:spacing w:after="40"/>
        <w:ind w:left="0"/>
      </w:pPr>
      <w:r>
        <w:t>Appendix C: To Be Determined List</w:t>
      </w:r>
    </w:p>
    <w:p>
      <w:r>
        <w:br w:type="page"/>
      </w:r>
    </w:p>
    <w:p>
      <w:pPr>
        <w:pStyle w:val="Heading1"/>
        <w:spacing w:before="160" w:after="60"/>
      </w:pPr>
      <w:r>
        <w:t>1. Introduction</w:t>
      </w:r>
    </w:p>
    <w:p>
      <w:pPr>
        <w:pStyle w:val="Heading2"/>
        <w:spacing w:before="100" w:after="60"/>
      </w:pPr>
      <w:r>
        <w:t>1.1 Purpose</w:t>
      </w:r>
    </w:p>
    <w:p>
      <w:pPr>
        <w:spacing w:after="80" w:line="252" w:lineRule="auto"/>
      </w:pPr>
      <w:r>
        <w:t>This SRS specifies the requirements for the Vehicle Parking System (VPS) v2.0, built by Team 10 for problem statement PS-10. It is the reference for development, and the Test Plan (Part 2) traces every test case back to it.</w:t>
      </w:r>
    </w:p>
    <w:p>
      <w:pPr>
        <w:pStyle w:val="Heading2"/>
        <w:spacing w:before="100" w:after="60"/>
      </w:pPr>
      <w:r>
        <w:t>1.2 Document Conventions</w:t>
      </w:r>
    </w:p>
    <w:p>
      <w:pPr>
        <w:spacing w:after="80" w:line="252" w:lineRule="auto"/>
      </w:pPr>
      <w:r>
        <w:t>IDs: REQ-&lt;MODULE&gt;-NN (functional), NFR- (non-functional), SEC- (security), QA- (quality), BR- (business rule), OR- (other).</w:t>
        <w:br/>
        <w:t>"Shall" = mandatory. Each requirement is a single, testable statement. Priority: H/M/L. Verification: T = Test, D = Demo, I = Inspection.</w:t>
      </w:r>
    </w:p>
    <w:p>
      <w:pPr>
        <w:pStyle w:val="Heading2"/>
        <w:spacing w:before="100" w:after="60"/>
      </w:pPr>
      <w:r>
        <w:t>1.3 Intended Audience and Reading Suggestions</w:t>
      </w:r>
    </w:p>
    <w:p>
      <w:pPr>
        <w:spacing w:after="80" w:line="252" w:lineRule="auto"/>
      </w:pPr>
      <w:r>
        <w:t>Developers and testers should read Sections 3 to 5; evaluators may start with Section 2 and the use case diagram in Section 7.</w:t>
      </w:r>
    </w:p>
    <w:p>
      <w:pPr>
        <w:pStyle w:val="Heading2"/>
        <w:spacing w:before="100" w:after="60"/>
      </w:pPr>
      <w:r>
        <w:t>1.4 Product Scope</w:t>
      </w:r>
    </w:p>
    <w:p>
      <w:pPr>
        <w:spacing w:after="80" w:line="252" w:lineRule="auto"/>
      </w:pPr>
      <w:r>
        <w:t>VPS is a software-only web application that simulates a car park: slot allocation, vehicle entry and exit, fee calculation, mock payment and reporting. Two advanced features set it apart: smart slot assignment using BFS over a grid model with a drawn route, and predictive availability based on average dwell time. Real hardware, live payments and multi-facility deployment are out of scope.</w:t>
      </w:r>
    </w:p>
    <w:p>
      <w:pPr>
        <w:pStyle w:val="Heading2"/>
        <w:spacing w:before="100" w:after="60"/>
      </w:pPr>
      <w:r>
        <w:t>1.5 References</w:t>
      </w:r>
    </w:p>
    <w:p>
      <w:pPr>
        <w:spacing w:after="80" w:line="252" w:lineRule="auto"/>
      </w:pPr>
      <w:r>
        <w:t>IEEE Std 830-1998 (SRS); IEEE Std 829-2008 (Test Documentation); OWASP Top 10 (2021); course handout "Mini-Project Deliverables Part-1"; PS-10 problem statement.</w:t>
      </w:r>
    </w:p>
    <w:p>
      <w:pPr>
        <w:pStyle w:val="Heading1"/>
        <w:spacing w:before="160" w:after="60"/>
      </w:pPr>
      <w:r>
        <w:t>2. Overall Description</w:t>
      </w:r>
    </w:p>
    <w:p>
      <w:pPr>
        <w:pStyle w:val="Heading2"/>
        <w:spacing w:before="100" w:after="60"/>
      </w:pPr>
      <w:r>
        <w:t>2.1 Product Perspective</w:t>
      </w:r>
    </w:p>
    <w:p>
      <w:pPr>
        <w:spacing w:after="80" w:line="252" w:lineRule="auto"/>
      </w:pPr>
      <w:r>
        <w:t>A new, self-contained, three-layer application: browser UI, Flask business logic (allocation, BFS, fees, prediction) and a local SQLite database. Physical devices are replaced by software stand-ins (Section 3.2).</w:t>
      </w:r>
    </w:p>
    <w:p>
      <w:pPr>
        <w:pStyle w:val="Heading2"/>
        <w:spacing w:before="100" w:after="60"/>
      </w:pPr>
      <w:r>
        <w:t>2.2 Product Functions</w:t>
      </w:r>
    </w:p>
    <w:p>
      <w:pPr>
        <w:spacing w:after="80" w:line="252" w:lineRule="auto"/>
      </w:pPr>
      <w:r>
        <w:t>Live slot tracking; simulated entry/exit with ticket and QR code; BFS slot assignment with route map; fee calculation with mock payment and receipt; predicted wait time when full; reports with CSV/PDF export; role-based login with audit log.</w:t>
      </w:r>
    </w:p>
    <w:p>
      <w:pPr>
        <w:pStyle w:val="Heading2"/>
        <w:spacing w:before="100" w:after="60"/>
      </w:pPr>
      <w:r>
        <w:t>2.3 User Classes and Characteristics</w:t>
      </w:r>
    </w:p>
    <w:p>
      <w:pPr>
        <w:spacing w:after="80" w:line="252" w:lineRule="auto"/>
      </w:pPr>
      <w:r>
        <w:t>Driver (simulated): uses entry, exit and availability screens; no login.</w:t>
        <w:br/>
        <w:t>Attendant: logs in; processes entry, exit and payment; views the slot grid.</w:t>
        <w:br/>
        <w:t>Administrator: inherits Attendant rights; configures layout, rates and grace period; views reports and audit log.</w:t>
      </w:r>
    </w:p>
    <w:p>
      <w:pPr>
        <w:pStyle w:val="Heading2"/>
        <w:spacing w:before="100" w:after="60"/>
      </w:pPr>
      <w:r>
        <w:t>2.4 Operating Environment</w:t>
      </w:r>
    </w:p>
    <w:p>
      <w:pPr>
        <w:spacing w:after="80" w:line="252" w:lineRule="auto"/>
      </w:pPr>
      <w:r>
        <w:t>Windows 10/11, macOS 12+ or Ubuntu 22.04+; Python 3.10+, Flask 3.x, SQLite 3; Chrome, Edge or Firefox on localhost. Reference machine: Core i5, 8 GB RAM.</w:t>
      </w:r>
    </w:p>
    <w:p>
      <w:pPr>
        <w:pStyle w:val="Heading2"/>
        <w:spacing w:before="100" w:after="60"/>
      </w:pPr>
      <w:r>
        <w:t>2.5 Design and Implementation Constraints</w:t>
      </w:r>
    </w:p>
    <w:p>
      <w:pPr>
        <w:spacing w:after="80" w:line="252" w:lineRule="auto"/>
      </w:pPr>
      <w:r>
        <w:t>No physical hardware; mock payment only; stack fixed as Python (Flask), SQLite, HTML/CSS/JS; must start with one command and no internet; prediction must use an explainable heuristic, not an ML model.</w:t>
      </w:r>
    </w:p>
    <w:p>
      <w:pPr>
        <w:pStyle w:val="Heading2"/>
        <w:spacing w:before="100" w:after="60"/>
      </w:pPr>
      <w:r>
        <w:t>2.6 User Documentation</w:t>
      </w:r>
    </w:p>
    <w:p>
      <w:pPr>
        <w:spacing w:after="80" w:line="252" w:lineRule="auto"/>
      </w:pPr>
      <w:r>
        <w:t>README with setup, start command, demo credentials and walkthrough; tooltips on every simulated action.</w:t>
      </w:r>
    </w:p>
    <w:p>
      <w:pPr>
        <w:pStyle w:val="Heading2"/>
        <w:spacing w:before="100" w:after="60"/>
      </w:pPr>
      <w:r>
        <w:t>2.7 Assumptions and Dependencies</w:t>
      </w:r>
    </w:p>
    <w:p>
      <w:pPr>
        <w:spacing w:after="80" w:line="252" w:lineRule="auto"/>
      </w:pPr>
      <w:r>
        <w:t>Single-machine evaluation; vehicles identified by typed plate or ticket ID; only free, open-source libraries (Flask, Flask-WTF, qrcode, ReportLab).</w:t>
      </w:r>
    </w:p>
    <w:p>
      <w:pPr>
        <w:pStyle w:val="Heading1"/>
        <w:spacing w:before="160" w:after="60"/>
      </w:pPr>
      <w:r>
        <w:t>3. External Interfaces</w:t>
      </w:r>
    </w:p>
    <w:p>
      <w:pPr>
        <w:pStyle w:val="Heading2"/>
        <w:spacing w:before="100" w:after="60"/>
      </w:pPr>
      <w:r>
        <w:t>3.1 User Interfaces</w:t>
      </w:r>
    </w:p>
    <w:p>
      <w:pPr>
        <w:spacing w:after="80" w:line="252" w:lineRule="auto"/>
      </w:pPr>
      <w:r>
        <w:t>Entry screen: plate, vehicle type (Two-Wheeler/Car/EV), accessible checkbox; shows ticket, QR, slot, route and gate status. Exit screen: ticket ID, fee breakdown, Pay (Mock), receipt. Admin dashboard: live slot grid, counts, overstay alerts, settings, reports, audit log. Errors appear next to the field; layout works at 1366 x 768 and above.</w:t>
      </w:r>
    </w:p>
    <w:p>
      <w:pPr>
        <w:pStyle w:val="Heading2"/>
        <w:spacing w:before="100" w:after="60"/>
      </w:pPr>
      <w:r>
        <w:t>3.2 Hardware Interfaces (Simulated)</w:t>
      </w:r>
    </w:p>
    <w:p>
      <w:pPr>
        <w:spacing w:after="80" w:line="252" w:lineRule="auto"/>
      </w:pPr>
      <w:r>
        <w:t>LPR/RFID is replaced by typed plate or generated ticket/QR; occupancy sensors by a slot status field; boom barrier by an on-screen Open/Closed gate; payment terminal by a mock module.</w:t>
      </w:r>
    </w:p>
    <w:p>
      <w:pPr>
        <w:pStyle w:val="Heading2"/>
        <w:spacing w:before="100" w:after="60"/>
      </w:pPr>
      <w:r>
        <w:t>3.3 Software Interfaces</w:t>
      </w:r>
    </w:p>
    <w:p>
      <w:pPr>
        <w:spacing w:after="80" w:line="252" w:lineRule="auto"/>
      </w:pPr>
      <w:r>
        <w:t>SQLite 3 (parameterised queries only); mock payment function pay(ticket_id, amount) returning {status, reference}; Flask, Flask-WTF (CSRF), Werkzeug (hashing), qrcode, ReportLab (PDF).</w:t>
      </w:r>
    </w:p>
    <w:p>
      <w:pPr>
        <w:pStyle w:val="Heading2"/>
        <w:spacing w:before="100" w:after="60"/>
      </w:pPr>
      <w:r>
        <w:t>3.4 Communications Interfaces</w:t>
      </w:r>
    </w:p>
    <w:p>
      <w:pPr>
        <w:spacing w:after="80" w:line="252" w:lineRule="auto"/>
      </w:pPr>
      <w:r>
        <w:t>HTTP on localhost:5000; the dashboard polls a JSON endpoint every 500 ms. No external network calls.</w:t>
      </w:r>
    </w:p>
    <w:p>
      <w:pPr>
        <w:pStyle w:val="Heading1"/>
        <w:spacing w:before="160" w:after="60"/>
      </w:pPr>
      <w:r>
        <w:t>4. System Features (Detailed)</w:t>
      </w:r>
    </w:p>
    <w:p>
      <w:pPr>
        <w:pStyle w:val="Heading2"/>
        <w:keepNext/>
        <w:spacing w:before="100" w:after="60"/>
      </w:pPr>
      <w:r>
        <w:t>4.1 Slot Availability Tracking (High)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1540"/>
        <w:gridCol w:w="6892"/>
        <w:gridCol w:w="680"/>
        <w:gridCol w:w="680"/>
      </w:tblGrid>
      <w:tr>
        <w:trPr>
          <w:cantSplit/>
          <w:tblHeader/>
        </w:trPr>
        <w:tc>
          <w:tcPr>
            <w:tcW w:type="dxa" w:w="154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ID</w:t>
            </w:r>
          </w:p>
        </w:tc>
        <w:tc>
          <w:tcPr>
            <w:tcW w:type="dxa" w:w="689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Requirement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Pri.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Ver.</w:t>
            </w:r>
          </w:p>
        </w:tc>
      </w:tr>
      <w:tr>
        <w:trPr>
          <w:cantSplit/>
        </w:trPr>
        <w:tc>
          <w:tcPr>
            <w:tcW w:type="dxa" w:w="154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REQ-SLOT-01</w:t>
            </w:r>
          </w:p>
        </w:tc>
        <w:tc>
          <w:tcPr>
            <w:tcW w:type="dxa" w:w="689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Slot status (Vacant/Occupied/Reserved) shall change within 1 s of the triggering entry, exit or reservation.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  <w:tr>
        <w:trPr>
          <w:cantSplit/>
        </w:trPr>
        <w:tc>
          <w:tcPr>
            <w:tcW w:type="dxa" w:w="154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REQ-SLOT-02</w:t>
            </w:r>
          </w:p>
        </w:tc>
        <w:tc>
          <w:tcPr>
            <w:tcW w:type="dxa" w:w="689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Vacant counts per category and a slot grid shall be shown on the entry screen and admin dashboard.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D</w:t>
            </w:r>
          </w:p>
        </w:tc>
      </w:tr>
      <w:tr>
        <w:trPr>
          <w:cantSplit/>
        </w:trPr>
        <w:tc>
          <w:tcPr>
            <w:tcW w:type="dxa" w:w="154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REQ-SLOT-03</w:t>
            </w:r>
          </w:p>
        </w:tc>
        <w:tc>
          <w:tcPr>
            <w:tcW w:type="dxa" w:w="689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Each slot shall have one category (Two-Wheeler, Car, Accessible, EV); vehicles get matching slots only.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  <w:tr>
        <w:trPr>
          <w:cantSplit/>
        </w:trPr>
        <w:tc>
          <w:tcPr>
            <w:tcW w:type="dxa" w:w="15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REQ-SLOT-04</w:t>
            </w:r>
          </w:p>
        </w:tc>
        <w:tc>
          <w:tcPr>
            <w:tcW w:type="dxa" w:w="689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If the category is full, entry shall be refused with "No &lt;category&gt; slot available" and the predicted wait.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</w:tbl>
    <w:p/>
    <w:p>
      <w:pPr>
        <w:pStyle w:val="Heading2"/>
        <w:keepNext/>
        <w:spacing w:before="100" w:after="60"/>
      </w:pPr>
      <w:r>
        <w:t>4.2 Vehicle Entry/Exit Logging (High)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1420"/>
        <w:gridCol w:w="7012"/>
        <w:gridCol w:w="680"/>
        <w:gridCol w:w="680"/>
      </w:tblGrid>
      <w:tr>
        <w:trPr>
          <w:cantSplit/>
          <w:tblHeader/>
        </w:trPr>
        <w:tc>
          <w:tcPr>
            <w:tcW w:type="dxa" w:w="142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ID</w:t>
            </w:r>
          </w:p>
        </w:tc>
        <w:tc>
          <w:tcPr>
            <w:tcW w:type="dxa" w:w="701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Requirement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Pri.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Ver.</w:t>
            </w:r>
          </w:p>
        </w:tc>
      </w:tr>
      <w:tr>
        <w:trPr>
          <w:cantSplit/>
        </w:trPr>
        <w:tc>
          <w:tcPr>
            <w:tcW w:type="dxa" w:w="142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REQ-LOG-01</w:t>
            </w:r>
          </w:p>
        </w:tc>
        <w:tc>
          <w:tcPr>
            <w:tcW w:type="dxa" w:w="701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Entry shall accept a plate of 4 to 10 letters/digits (spaces ignored, stored upper case) and a vehicle type.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  <w:tr>
        <w:trPr>
          <w:cantSplit/>
        </w:trPr>
        <w:tc>
          <w:tcPr>
            <w:tcW w:type="dxa" w:w="142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REQ-LOG-02</w:t>
            </w:r>
          </w:p>
        </w:tc>
        <w:tc>
          <w:tcPr>
            <w:tcW w:type="dxa" w:w="701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 unique ticket ID (VPS-YYYYMMDD-NNNN) and QR code shall be generated and linked to the slot.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  <w:tr>
        <w:trPr>
          <w:cantSplit/>
        </w:trPr>
        <w:tc>
          <w:tcPr>
            <w:tcW w:type="dxa" w:w="142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REQ-LOG-03</w:t>
            </w:r>
          </w:p>
        </w:tc>
        <w:tc>
          <w:tcPr>
            <w:tcW w:type="dxa" w:w="701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Entry and exit times shall be recorded to the nearest second.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  <w:tr>
        <w:trPr>
          <w:cantSplit/>
        </w:trPr>
        <w:tc>
          <w:tcPr>
            <w:tcW w:type="dxa" w:w="1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REQ-LOG-04</w:t>
            </w:r>
          </w:p>
        </w:tc>
        <w:tc>
          <w:tcPr>
            <w:tcW w:type="dxa" w:w="701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Entry shall be rejected for a plate that already has an active ticket.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</w:tbl>
    <w:p/>
    <w:p>
      <w:pPr>
        <w:pStyle w:val="Heading2"/>
        <w:keepNext/>
        <w:spacing w:before="100" w:after="60"/>
      </w:pPr>
      <w:r>
        <w:t>4.3 Payment Processing (High)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1420"/>
        <w:gridCol w:w="7012"/>
        <w:gridCol w:w="680"/>
        <w:gridCol w:w="680"/>
      </w:tblGrid>
      <w:tr>
        <w:trPr>
          <w:cantSplit/>
          <w:tblHeader/>
        </w:trPr>
        <w:tc>
          <w:tcPr>
            <w:tcW w:type="dxa" w:w="142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ID</w:t>
            </w:r>
          </w:p>
        </w:tc>
        <w:tc>
          <w:tcPr>
            <w:tcW w:type="dxa" w:w="701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Requirement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Pri.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Ver.</w:t>
            </w:r>
          </w:p>
        </w:tc>
      </w:tr>
      <w:tr>
        <w:trPr>
          <w:cantSplit/>
        </w:trPr>
        <w:tc>
          <w:tcPr>
            <w:tcW w:type="dxa" w:w="142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REQ-PAY-01</w:t>
            </w:r>
          </w:p>
        </w:tc>
        <w:tc>
          <w:tcPr>
            <w:tcW w:type="dxa" w:w="701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Fee = Rs. 0 within the grace period, else started hours x hourly rate (defaults: Two-Wheeler Rs. 20, Car Rs. 40, EV Rs. 50; configurable).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  <w:tr>
        <w:trPr>
          <w:cantSplit/>
        </w:trPr>
        <w:tc>
          <w:tcPr>
            <w:tcW w:type="dxa" w:w="142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REQ-PAY-02</w:t>
            </w:r>
          </w:p>
        </w:tc>
        <w:tc>
          <w:tcPr>
            <w:tcW w:type="dxa" w:w="701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One mock payment step shall return Success, or Failure when the admin enables "force failure".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  <w:tr>
        <w:trPr>
          <w:cantSplit/>
        </w:trPr>
        <w:tc>
          <w:tcPr>
            <w:tcW w:type="dxa" w:w="1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REQ-PAY-03</w:t>
            </w:r>
          </w:p>
        </w:tc>
        <w:tc>
          <w:tcPr>
            <w:tcW w:type="dxa" w:w="701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On success, a receipt shall show ticket, plate, slot, times, duration, rate, amount and payment reference.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</w:tbl>
    <w:p/>
    <w:p>
      <w:pPr>
        <w:pStyle w:val="Heading2"/>
        <w:keepNext/>
        <w:spacing w:before="100" w:after="60"/>
      </w:pPr>
      <w:r>
        <w:t>4.4 Reporting and Analytics (Medium)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1420"/>
        <w:gridCol w:w="7012"/>
        <w:gridCol w:w="680"/>
        <w:gridCol w:w="680"/>
      </w:tblGrid>
      <w:tr>
        <w:trPr>
          <w:cantSplit/>
          <w:tblHeader/>
        </w:trPr>
        <w:tc>
          <w:tcPr>
            <w:tcW w:type="dxa" w:w="142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ID</w:t>
            </w:r>
          </w:p>
        </w:tc>
        <w:tc>
          <w:tcPr>
            <w:tcW w:type="dxa" w:w="701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Requirement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Pri.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Ver.</w:t>
            </w:r>
          </w:p>
        </w:tc>
      </w:tr>
      <w:tr>
        <w:trPr>
          <w:cantSplit/>
        </w:trPr>
        <w:tc>
          <w:tcPr>
            <w:tcW w:type="dxa" w:w="142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REQ-REP-01</w:t>
            </w:r>
          </w:p>
        </w:tc>
        <w:tc>
          <w:tcPr>
            <w:tcW w:type="dxa" w:w="701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Daily, weekly and monthly occupancy (%) and revenue (Rs.) reports shall be generated for a date range.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M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  <w:tr>
        <w:trPr>
          <w:cantSplit/>
        </w:trPr>
        <w:tc>
          <w:tcPr>
            <w:tcW w:type="dxa" w:w="142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REQ-REP-02</w:t>
            </w:r>
          </w:p>
        </w:tc>
        <w:tc>
          <w:tcPr>
            <w:tcW w:type="dxa" w:w="701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Reports shall export to CSV and PDF with figures identical to the screen.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M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  <w:tr>
        <w:trPr>
          <w:cantSplit/>
        </w:trPr>
        <w:tc>
          <w:tcPr>
            <w:tcW w:type="dxa" w:w="1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REQ-REP-03</w:t>
            </w:r>
          </w:p>
        </w:tc>
        <w:tc>
          <w:tcPr>
            <w:tcW w:type="dxa" w:w="701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Peak hour and average utilisation per category shall be shown.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M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</w:tbl>
    <w:p/>
    <w:p>
      <w:pPr>
        <w:pStyle w:val="Heading2"/>
        <w:keepNext/>
        <w:spacing w:before="100" w:after="60"/>
      </w:pPr>
      <w:r>
        <w:t>4.5 User and Access Management (High)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1420"/>
        <w:gridCol w:w="7012"/>
        <w:gridCol w:w="680"/>
        <w:gridCol w:w="680"/>
      </w:tblGrid>
      <w:tr>
        <w:trPr>
          <w:cantSplit/>
          <w:tblHeader/>
        </w:trPr>
        <w:tc>
          <w:tcPr>
            <w:tcW w:type="dxa" w:w="142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ID</w:t>
            </w:r>
          </w:p>
        </w:tc>
        <w:tc>
          <w:tcPr>
            <w:tcW w:type="dxa" w:w="701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Requirement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Pri.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Ver.</w:t>
            </w:r>
          </w:p>
        </w:tc>
      </w:tr>
      <w:tr>
        <w:trPr>
          <w:cantSplit/>
        </w:trPr>
        <w:tc>
          <w:tcPr>
            <w:tcW w:type="dxa" w:w="142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REQ-USR-01</w:t>
            </w:r>
          </w:p>
        </w:tc>
        <w:tc>
          <w:tcPr>
            <w:tcW w:type="dxa" w:w="701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Two roles: Administrator (all functions) and Attendant (entry, exit, payment, slot grid only).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  <w:tr>
        <w:trPr>
          <w:cantSplit/>
        </w:trPr>
        <w:tc>
          <w:tcPr>
            <w:tcW w:type="dxa" w:w="1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REQ-USR-02</w:t>
            </w:r>
          </w:p>
        </w:tc>
        <w:tc>
          <w:tcPr>
            <w:tcW w:type="dxa" w:w="701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Every admin action shall be logged with user, action, timestamp and old/new values.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</w:tbl>
    <w:p/>
    <w:p>
      <w:pPr>
        <w:pStyle w:val="Heading2"/>
        <w:keepNext/>
        <w:spacing w:before="100" w:after="60"/>
      </w:pPr>
      <w:r>
        <w:t>4.6 Smart Slot Assignment and Wayfinding (High)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1420"/>
        <w:gridCol w:w="7012"/>
        <w:gridCol w:w="680"/>
        <w:gridCol w:w="680"/>
      </w:tblGrid>
      <w:tr>
        <w:trPr>
          <w:cantSplit/>
          <w:tblHeader/>
        </w:trPr>
        <w:tc>
          <w:tcPr>
            <w:tcW w:type="dxa" w:w="142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ID</w:t>
            </w:r>
          </w:p>
        </w:tc>
        <w:tc>
          <w:tcPr>
            <w:tcW w:type="dxa" w:w="701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Requirement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Pri.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Ver.</w:t>
            </w:r>
          </w:p>
        </w:tc>
      </w:tr>
      <w:tr>
        <w:trPr>
          <w:cantSplit/>
        </w:trPr>
        <w:tc>
          <w:tcPr>
            <w:tcW w:type="dxa" w:w="142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REQ-NAV-01</w:t>
            </w:r>
          </w:p>
        </w:tc>
        <w:tc>
          <w:tcPr>
            <w:tcW w:type="dxa" w:w="701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The facility shall be modelled as an editable grid (max 10 x 10) of Road, Slot, Wall, Entrance and Exit cells.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  <w:tr>
        <w:trPr>
          <w:cantSplit/>
        </w:trPr>
        <w:tc>
          <w:tcPr>
            <w:tcW w:type="dxa" w:w="142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REQ-NAV-02</w:t>
            </w:r>
          </w:p>
        </w:tc>
        <w:tc>
          <w:tcPr>
            <w:tcW w:type="dxa" w:w="701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The vacant matching slot with the shortest BFS path from the entrance (or exit, if selected) shall be assigned; ties go to the lower slot number.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  <w:tr>
        <w:trPr>
          <w:cantSplit/>
        </w:trPr>
        <w:tc>
          <w:tcPr>
            <w:tcW w:type="dxa" w:w="142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REQ-NAV-03</w:t>
            </w:r>
          </w:p>
        </w:tc>
        <w:tc>
          <w:tcPr>
            <w:tcW w:type="dxa" w:w="701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 2D grid shall show slot status, the assigned slot and the computed path.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D</w:t>
            </w:r>
          </w:p>
        </w:tc>
      </w:tr>
      <w:tr>
        <w:trPr>
          <w:cantSplit/>
        </w:trPr>
        <w:tc>
          <w:tcPr>
            <w:tcW w:type="dxa" w:w="1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REQ-NAV-04</w:t>
            </w:r>
          </w:p>
        </w:tc>
        <w:tc>
          <w:tcPr>
            <w:tcW w:type="dxa" w:w="701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If the target is taken or the path blocked before confirmation, the next best slot shall be assigned within 500 ms.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</w:tbl>
    <w:p/>
    <w:p>
      <w:pPr>
        <w:pStyle w:val="Heading2"/>
        <w:keepNext/>
        <w:spacing w:before="100" w:after="60"/>
      </w:pPr>
      <w:r>
        <w:t>4.7 Predictive Slot Availability (Medium)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1540"/>
        <w:gridCol w:w="6892"/>
        <w:gridCol w:w="680"/>
        <w:gridCol w:w="680"/>
      </w:tblGrid>
      <w:tr>
        <w:trPr>
          <w:cantSplit/>
          <w:tblHeader/>
        </w:trPr>
        <w:tc>
          <w:tcPr>
            <w:tcW w:type="dxa" w:w="154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ID</w:t>
            </w:r>
          </w:p>
        </w:tc>
        <w:tc>
          <w:tcPr>
            <w:tcW w:type="dxa" w:w="689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Requirement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Pri.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Ver.</w:t>
            </w:r>
          </w:p>
        </w:tc>
      </w:tr>
      <w:tr>
        <w:trPr>
          <w:cantSplit/>
        </w:trPr>
        <w:tc>
          <w:tcPr>
            <w:tcW w:type="dxa" w:w="154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REQ-PRED-01</w:t>
            </w:r>
          </w:p>
        </w:tc>
        <w:tc>
          <w:tcPr>
            <w:tcW w:type="dxa" w:w="689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Dwell time of every completed ticket shall be stored per vehicle type.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M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  <w:tr>
        <w:trPr>
          <w:cantSplit/>
        </w:trPr>
        <w:tc>
          <w:tcPr>
            <w:tcW w:type="dxa" w:w="154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REQ-PRED-02</w:t>
            </w:r>
          </w:p>
        </w:tc>
        <w:tc>
          <w:tcPr>
            <w:tcW w:type="dxa" w:w="689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Estimate = min over occupied slots of max(0, average dwell - time parked), rounded up to a whole minute. No ML model.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M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  <w:tr>
        <w:trPr>
          <w:cantSplit/>
        </w:trPr>
        <w:tc>
          <w:tcPr>
            <w:tcW w:type="dxa" w:w="154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REQ-PRED-03</w:t>
            </w:r>
          </w:p>
        </w:tc>
        <w:tc>
          <w:tcPr>
            <w:tcW w:type="dxa" w:w="689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The entry screen shall show "Next &lt;category&gt; slot expected in about N min", or "Estimate unavailable" with fewer than 5 records.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M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  <w:tr>
        <w:trPr>
          <w:cantSplit/>
        </w:trPr>
        <w:tc>
          <w:tcPr>
            <w:tcW w:type="dxa" w:w="15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REQ-PRED-04</w:t>
            </w:r>
          </w:p>
        </w:tc>
        <w:tc>
          <w:tcPr>
            <w:tcW w:type="dxa" w:w="689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The admin shall be able to seed 200 synthetic records over the previous 14 days.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M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</w:tbl>
    <w:p/>
    <w:p>
      <w:pPr>
        <w:pStyle w:val="Heading1"/>
        <w:spacing w:before="160" w:after="60"/>
      </w:pPr>
      <w:r>
        <w:t>5. Non-Functional Requirements (Detailed)</w:t>
      </w:r>
    </w:p>
    <w:p>
      <w:pPr>
        <w:pStyle w:val="Heading2"/>
        <w:keepNext/>
        <w:spacing w:before="100" w:after="60"/>
      </w:pPr>
      <w:r>
        <w:t>5.1 Performance Requirements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1540"/>
        <w:gridCol w:w="6892"/>
        <w:gridCol w:w="680"/>
        <w:gridCol w:w="680"/>
      </w:tblGrid>
      <w:tr>
        <w:trPr>
          <w:cantSplit/>
          <w:tblHeader/>
        </w:trPr>
        <w:tc>
          <w:tcPr>
            <w:tcW w:type="dxa" w:w="154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ID</w:t>
            </w:r>
          </w:p>
        </w:tc>
        <w:tc>
          <w:tcPr>
            <w:tcW w:type="dxa" w:w="689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Requirement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Pri.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Ver.</w:t>
            </w:r>
          </w:p>
        </w:tc>
      </w:tr>
      <w:tr>
        <w:trPr>
          <w:cantSplit/>
        </w:trPr>
        <w:tc>
          <w:tcPr>
            <w:tcW w:type="dxa" w:w="154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NFR-PERF-01</w:t>
            </w:r>
          </w:p>
        </w:tc>
        <w:tc>
          <w:tcPr>
            <w:tcW w:type="dxa" w:w="689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Entry/exit (submit to updated status) shall complete within 1 s for 95% of 20 trials.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  <w:tr>
        <w:trPr>
          <w:cantSplit/>
        </w:trPr>
        <w:tc>
          <w:tcPr>
            <w:tcW w:type="dxa" w:w="154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NFR-PERF-02</w:t>
            </w:r>
          </w:p>
        </w:tc>
        <w:tc>
          <w:tcPr>
            <w:tcW w:type="dxa" w:w="689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The dashboard shall reflect a change within 1 s without manual refresh.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  <w:tr>
        <w:trPr>
          <w:cantSplit/>
        </w:trPr>
        <w:tc>
          <w:tcPr>
            <w:tcW w:type="dxa" w:w="154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NFR-PERF-03</w:t>
            </w:r>
          </w:p>
        </w:tc>
        <w:tc>
          <w:tcPr>
            <w:tcW w:type="dxa" w:w="689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At least 10 parked vehicles and 5 simultaneous entries shall be handled without error.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  <w:tr>
        <w:trPr>
          <w:cantSplit/>
        </w:trPr>
        <w:tc>
          <w:tcPr>
            <w:tcW w:type="dxa" w:w="154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NFR-PERF-04</w:t>
            </w:r>
          </w:p>
        </w:tc>
        <w:tc>
          <w:tcPr>
            <w:tcW w:type="dxa" w:w="689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BFS assignment shall complete within 500 ms for up to 50 nodes.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  <w:tr>
        <w:trPr>
          <w:cantSplit/>
        </w:trPr>
        <w:tc>
          <w:tcPr>
            <w:tcW w:type="dxa" w:w="15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NFR-PERF-05</w:t>
            </w:r>
          </w:p>
        </w:tc>
        <w:tc>
          <w:tcPr>
            <w:tcW w:type="dxa" w:w="689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 30-day report shall be generated within 3 s.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M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</w:tbl>
    <w:p/>
    <w:p>
      <w:pPr>
        <w:pStyle w:val="Heading2"/>
        <w:keepNext/>
        <w:spacing w:before="100" w:after="60"/>
      </w:pPr>
      <w:r>
        <w:t>5.2 Safety and Reliability Requirements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1420"/>
        <w:gridCol w:w="7012"/>
        <w:gridCol w:w="680"/>
        <w:gridCol w:w="680"/>
      </w:tblGrid>
      <w:tr>
        <w:trPr>
          <w:cantSplit/>
          <w:tblHeader/>
        </w:trPr>
        <w:tc>
          <w:tcPr>
            <w:tcW w:type="dxa" w:w="142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ID</w:t>
            </w:r>
          </w:p>
        </w:tc>
        <w:tc>
          <w:tcPr>
            <w:tcW w:type="dxa" w:w="701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Requirement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Pri.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Ver.</w:t>
            </w:r>
          </w:p>
        </w:tc>
      </w:tr>
      <w:tr>
        <w:trPr>
          <w:cantSplit/>
        </w:trPr>
        <w:tc>
          <w:tcPr>
            <w:tcW w:type="dxa" w:w="142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NFR-REL-01</w:t>
            </w:r>
          </w:p>
        </w:tc>
        <w:tc>
          <w:tcPr>
            <w:tcW w:type="dxa" w:w="701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Invalid input shall be rejected with a specific message; no stack trace shall be shown.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  <w:tr>
        <w:trPr>
          <w:cantSplit/>
        </w:trPr>
        <w:tc>
          <w:tcPr>
            <w:tcW w:type="dxa" w:w="142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NFR-REL-02</w:t>
            </w:r>
          </w:p>
        </w:tc>
        <w:tc>
          <w:tcPr>
            <w:tcW w:type="dxa" w:w="701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No slot shall ever be assigned to two active tickets, even under simultaneous requests.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  <w:tr>
        <w:trPr>
          <w:cantSplit/>
        </w:trPr>
        <w:tc>
          <w:tcPr>
            <w:tcW w:type="dxa" w:w="142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NFR-REL-03</w:t>
            </w:r>
          </w:p>
        </w:tc>
        <w:tc>
          <w:tcPr>
            <w:tcW w:type="dxa" w:w="701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All data shall persist in SQLite; no committed data is lost on restart.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  <w:tr>
        <w:trPr>
          <w:cantSplit/>
        </w:trPr>
        <w:tc>
          <w:tcPr>
            <w:tcW w:type="dxa" w:w="14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NFR-REL-04</w:t>
            </w:r>
          </w:p>
        </w:tc>
        <w:tc>
          <w:tcPr>
            <w:tcW w:type="dxa" w:w="701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 failed payment shall leave the ticket active and slot occupied (single transaction).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</w:tbl>
    <w:p/>
    <w:p>
      <w:pPr>
        <w:pStyle w:val="Heading2"/>
        <w:spacing w:before="100" w:after="60"/>
      </w:pPr>
      <w:r>
        <w:t>5.3 Security Requirements</w:t>
      </w:r>
    </w:p>
    <w:p>
      <w:pPr>
        <w:keepNext/>
        <w:spacing w:after="80" w:line="252" w:lineRule="auto"/>
      </w:pPr>
      <w:r>
        <w:t>Security Objectives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961"/>
        <w:gridCol w:w="8831"/>
      </w:tblGrid>
      <w:tr>
        <w:trPr>
          <w:cantSplit/>
          <w:tblHeader/>
        </w:trPr>
        <w:tc>
          <w:tcPr>
            <w:tcW w:type="dxa" w:w="96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ID</w:t>
            </w:r>
          </w:p>
        </w:tc>
        <w:tc>
          <w:tcPr>
            <w:tcW w:type="dxa" w:w="88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Objective</w:t>
            </w:r>
          </w:p>
        </w:tc>
      </w:tr>
      <w:tr>
        <w:trPr>
          <w:cantSplit/>
        </w:trPr>
        <w:tc>
          <w:tcPr>
            <w:tcW w:type="dxa" w:w="96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SO-01</w:t>
            </w:r>
          </w:p>
        </w:tc>
        <w:tc>
          <w:tcPr>
            <w:tcW w:type="dxa" w:w="88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Confidentiality: only authenticated staff reach staff screens; passwords cannot be read back.</w:t>
            </w:r>
          </w:p>
        </w:tc>
      </w:tr>
      <w:tr>
        <w:trPr>
          <w:cantSplit/>
        </w:trPr>
        <w:tc>
          <w:tcPr>
            <w:tcW w:type="dxa" w:w="96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SO-02</w:t>
            </w:r>
          </w:p>
        </w:tc>
        <w:tc>
          <w:tcPr>
            <w:tcW w:type="dxa" w:w="88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Integrity: ticket, slot, fee and payment data change only through validated workflows.</w:t>
            </w:r>
          </w:p>
        </w:tc>
      </w:tr>
      <w:tr>
        <w:trPr>
          <w:cantSplit/>
        </w:trPr>
        <w:tc>
          <w:tcPr>
            <w:tcW w:type="dxa" w:w="96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SO-03</w:t>
            </w:r>
          </w:p>
        </w:tc>
        <w:tc>
          <w:tcPr>
            <w:tcW w:type="dxa" w:w="88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Accountability: every admin change is traceable to a user and time.</w:t>
            </w:r>
          </w:p>
        </w:tc>
      </w:tr>
      <w:tr>
        <w:trPr>
          <w:cantSplit/>
        </w:trPr>
        <w:tc>
          <w:tcPr>
            <w:tcW w:type="dxa" w:w="96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SO-04</w:t>
            </w:r>
          </w:p>
        </w:tc>
        <w:tc>
          <w:tcPr>
            <w:tcW w:type="dxa" w:w="883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Robustness: malformed or hostile input cannot crash the app or corrupt data.</w:t>
            </w:r>
          </w:p>
        </w:tc>
      </w:tr>
    </w:tbl>
    <w:p/>
    <w:p>
      <w:pPr>
        <w:keepNext/>
        <w:spacing w:after="80" w:line="252" w:lineRule="auto"/>
      </w:pPr>
      <w:r>
        <w:t>Security Requirements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990"/>
        <w:gridCol w:w="6942"/>
        <w:gridCol w:w="1180"/>
        <w:gridCol w:w="680"/>
      </w:tblGrid>
      <w:tr>
        <w:trPr>
          <w:cantSplit/>
          <w:tblHeader/>
        </w:trPr>
        <w:tc>
          <w:tcPr>
            <w:tcW w:type="dxa" w:w="99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ID</w:t>
            </w:r>
          </w:p>
        </w:tc>
        <w:tc>
          <w:tcPr>
            <w:tcW w:type="dxa" w:w="694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Requirement</w:t>
            </w:r>
          </w:p>
        </w:tc>
        <w:tc>
          <w:tcPr>
            <w:tcW w:type="dxa" w:w="11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Obj.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Ver.</w:t>
            </w:r>
          </w:p>
        </w:tc>
      </w:tr>
      <w:tr>
        <w:trPr>
          <w:cantSplit/>
        </w:trPr>
        <w:tc>
          <w:tcPr>
            <w:tcW w:type="dxa" w:w="99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SEC-01</w:t>
            </w:r>
          </w:p>
        </w:tc>
        <w:tc>
          <w:tcPr>
            <w:tcW w:type="dxa" w:w="694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Passwords shall be stored only as salted one-way hashes (Werkzeug scrypt).</w:t>
            </w:r>
          </w:p>
        </w:tc>
        <w:tc>
          <w:tcPr>
            <w:tcW w:type="dxa" w:w="11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SO-01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T, I</w:t>
            </w:r>
          </w:p>
        </w:tc>
      </w:tr>
      <w:tr>
        <w:trPr>
          <w:cantSplit/>
        </w:trPr>
        <w:tc>
          <w:tcPr>
            <w:tcW w:type="dxa" w:w="99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SEC-02</w:t>
            </w:r>
          </w:p>
        </w:tc>
        <w:tc>
          <w:tcPr>
            <w:tcW w:type="dxa" w:w="694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5 consecutive failed logins shall lock the account for 5 minutes and be logged.</w:t>
            </w:r>
          </w:p>
        </w:tc>
        <w:tc>
          <w:tcPr>
            <w:tcW w:type="dxa" w:w="11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SO-01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  <w:tr>
        <w:trPr>
          <w:cantSplit/>
        </w:trPr>
        <w:tc>
          <w:tcPr>
            <w:tcW w:type="dxa" w:w="99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SEC-03</w:t>
            </w:r>
          </w:p>
        </w:tc>
        <w:tc>
          <w:tcPr>
            <w:tcW w:type="dxa" w:w="694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Role checks shall run on the server for every protected route; violations return HTTP 403 and are logged.</w:t>
            </w:r>
          </w:p>
        </w:tc>
        <w:tc>
          <w:tcPr>
            <w:tcW w:type="dxa" w:w="11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SO-01/02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  <w:tr>
        <w:trPr>
          <w:cantSplit/>
        </w:trPr>
        <w:tc>
          <w:tcPr>
            <w:tcW w:type="dxa" w:w="99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SEC-04</w:t>
            </w:r>
          </w:p>
        </w:tc>
        <w:tc>
          <w:tcPr>
            <w:tcW w:type="dxa" w:w="694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All SQL shall be parameterised and all input validated against allow-list patterns.</w:t>
            </w:r>
          </w:p>
        </w:tc>
        <w:tc>
          <w:tcPr>
            <w:tcW w:type="dxa" w:w="11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SO-02/04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T, I</w:t>
            </w:r>
          </w:p>
        </w:tc>
      </w:tr>
      <w:tr>
        <w:trPr>
          <w:cantSplit/>
        </w:trPr>
        <w:tc>
          <w:tcPr>
            <w:tcW w:type="dxa" w:w="99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SEC-05</w:t>
            </w:r>
          </w:p>
        </w:tc>
        <w:tc>
          <w:tcPr>
            <w:tcW w:type="dxa" w:w="694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All user-supplied text shall be HTML-escaped on output (XSS prevention).</w:t>
            </w:r>
          </w:p>
        </w:tc>
        <w:tc>
          <w:tcPr>
            <w:tcW w:type="dxa" w:w="11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SO-02/04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  <w:tr>
        <w:trPr>
          <w:cantSplit/>
        </w:trPr>
        <w:tc>
          <w:tcPr>
            <w:tcW w:type="dxa" w:w="99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SEC-06</w:t>
            </w:r>
          </w:p>
        </w:tc>
        <w:tc>
          <w:tcPr>
            <w:tcW w:type="dxa" w:w="694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Session cookies shall be HttpOnly and SameSite=Lax; sessions expire after 15 min idle or on logout.</w:t>
            </w:r>
          </w:p>
        </w:tc>
        <w:tc>
          <w:tcPr>
            <w:tcW w:type="dxa" w:w="11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SO-01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  <w:tr>
        <w:trPr>
          <w:cantSplit/>
        </w:trPr>
        <w:tc>
          <w:tcPr>
            <w:tcW w:type="dxa" w:w="99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SEC-07</w:t>
            </w:r>
          </w:p>
        </w:tc>
        <w:tc>
          <w:tcPr>
            <w:tcW w:type="dxa" w:w="694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State-changing requests shall require a valid CSRF token, else HTTP 400.</w:t>
            </w:r>
          </w:p>
        </w:tc>
        <w:tc>
          <w:tcPr>
            <w:tcW w:type="dxa" w:w="11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SO-02</w:t>
            </w:r>
          </w:p>
        </w:tc>
        <w:tc>
          <w:tcPr>
            <w:tcW w:type="dxa" w:w="6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  <w:tr>
        <w:trPr>
          <w:cantSplit/>
        </w:trPr>
        <w:tc>
          <w:tcPr>
            <w:tcW w:type="dxa" w:w="99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SEC-08</w:t>
            </w:r>
          </w:p>
        </w:tc>
        <w:tc>
          <w:tcPr>
            <w:tcW w:type="dxa" w:w="694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The audit log shall be append-only; no UI or endpoint may edit or delete entries.</w:t>
            </w:r>
          </w:p>
        </w:tc>
        <w:tc>
          <w:tcPr>
            <w:tcW w:type="dxa" w:w="11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SO-03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T, I</w:t>
            </w:r>
          </w:p>
        </w:tc>
      </w:tr>
    </w:tbl>
    <w:p/>
    <w:p>
      <w:pPr>
        <w:spacing w:after="80" w:line="252" w:lineRule="auto"/>
      </w:pPr>
      <w:r>
        <w:t>TLS, OAuth/SSO, PCI-DSS and encryption at rest are out of scope (Appendix C).</w:t>
      </w:r>
    </w:p>
    <w:p>
      <w:pPr>
        <w:pStyle w:val="Heading1"/>
        <w:spacing w:before="160" w:after="60"/>
      </w:pPr>
      <w:r>
        <w:t>6. Quality Attributes &amp; Acceptance Tests</w:t>
      </w:r>
    </w:p>
    <w:p>
      <w:pPr>
        <w:keepNext/>
        <w:spacing w:after="80" w:line="252" w:lineRule="auto"/>
      </w:pPr>
      <w:r>
        <w:t>These quality attributes and business rules apply across all features.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7102"/>
        <w:gridCol w:w="687"/>
        <w:gridCol w:w="689"/>
      </w:tblGrid>
      <w:tr>
        <w:trPr>
          <w:cantSplit/>
          <w:tblHeader/>
        </w:trPr>
        <w:tc>
          <w:tcPr>
            <w:tcW w:type="dxa" w:w="131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ID</w:t>
            </w:r>
          </w:p>
        </w:tc>
        <w:tc>
          <w:tcPr>
            <w:tcW w:type="dxa" w:w="710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Requirement</w:t>
            </w:r>
          </w:p>
        </w:tc>
        <w:tc>
          <w:tcPr>
            <w:tcW w:type="dxa" w:w="68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Pri.</w:t>
            </w:r>
          </w:p>
        </w:tc>
        <w:tc>
          <w:tcPr>
            <w:tcW w:type="dxa" w:w="689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Ver.</w:t>
            </w:r>
          </w:p>
        </w:tc>
      </w:tr>
      <w:tr>
        <w:trPr>
          <w:cantSplit/>
        </w:trPr>
        <w:tc>
          <w:tcPr>
            <w:tcW w:type="dxa" w:w="131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QA-USE-01</w:t>
            </w:r>
          </w:p>
        </w:tc>
        <w:tc>
          <w:tcPr>
            <w:tcW w:type="dxa" w:w="710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4 of 5 first-time users shall complete entry to receipt within 3 minutes unaided.</w:t>
            </w:r>
          </w:p>
        </w:tc>
        <w:tc>
          <w:tcPr>
            <w:tcW w:type="dxa" w:w="68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</w:t>
            </w:r>
          </w:p>
        </w:tc>
        <w:tc>
          <w:tcPr>
            <w:tcW w:type="dxa" w:w="689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  <w:tr>
        <w:trPr>
          <w:cantSplit/>
        </w:trPr>
        <w:tc>
          <w:tcPr>
            <w:tcW w:type="dxa" w:w="131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QA-MOD-01</w:t>
            </w:r>
          </w:p>
        </w:tc>
        <w:tc>
          <w:tcPr>
            <w:tcW w:type="dxa" w:w="710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UI, business logic and data access shall be in separate modules.</w:t>
            </w:r>
          </w:p>
        </w:tc>
        <w:tc>
          <w:tcPr>
            <w:tcW w:type="dxa" w:w="68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M</w:t>
            </w:r>
          </w:p>
        </w:tc>
        <w:tc>
          <w:tcPr>
            <w:tcW w:type="dxa" w:w="689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</w:t>
            </w:r>
          </w:p>
        </w:tc>
      </w:tr>
      <w:tr>
        <w:trPr>
          <w:cantSplit/>
        </w:trPr>
        <w:tc>
          <w:tcPr>
            <w:tcW w:type="dxa" w:w="131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QA-MNT-01</w:t>
            </w:r>
          </w:p>
        </w:tc>
        <w:tc>
          <w:tcPr>
            <w:tcW w:type="dxa" w:w="710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Code shall have docstrings and pass flake8 (PEP 8) with no errors.</w:t>
            </w:r>
          </w:p>
        </w:tc>
        <w:tc>
          <w:tcPr>
            <w:tcW w:type="dxa" w:w="68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M</w:t>
            </w:r>
          </w:p>
        </w:tc>
        <w:tc>
          <w:tcPr>
            <w:tcW w:type="dxa" w:w="689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</w:t>
            </w:r>
          </w:p>
        </w:tc>
      </w:tr>
      <w:tr>
        <w:trPr>
          <w:cantSplit/>
        </w:trPr>
        <w:tc>
          <w:tcPr>
            <w:tcW w:type="dxa" w:w="13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QA-POR-01</w:t>
            </w:r>
          </w:p>
        </w:tc>
        <w:tc>
          <w:tcPr>
            <w:tcW w:type="dxa" w:w="71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The app shall run unchanged on Windows, macOS and Linux (Python 3.10+).</w:t>
            </w:r>
          </w:p>
        </w:tc>
        <w:tc>
          <w:tcPr>
            <w:tcW w:type="dxa" w:w="68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M</w:t>
            </w:r>
          </w:p>
        </w:tc>
        <w:tc>
          <w:tcPr>
            <w:tcW w:type="dxa" w:w="68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</w:t>
            </w:r>
          </w:p>
        </w:tc>
      </w:tr>
    </w:tbl>
    <w:p/>
    <w:p>
      <w:pPr>
        <w:spacing w:after="80" w:line="252" w:lineRule="auto"/>
      </w:pPr>
      <w:r>
        <w:t>BR-01: 5-minute grace period (configurable 0 to 30). BR-02: fees charged per started hour (2 h 10 min = 3 h). BR-03: vehicles parked over 24 h are flagged "Overstay" (informational).</w:t>
      </w:r>
    </w:p>
    <w:p>
      <w:pPr>
        <w:pStyle w:val="Heading1"/>
        <w:spacing w:before="160" w:after="60"/>
      </w:pPr>
      <w:r>
        <w:t>7. UML Use-Case Diagram</w:t>
      </w:r>
    </w:p>
    <w:p>
      <w:r>
        <w:drawing>
          <wp:inline xmlns:a="http://schemas.openxmlformats.org/drawingml/2006/main" xmlns:pic="http://schemas.openxmlformats.org/drawingml/2006/picture">
            <wp:extent cx="5669280" cy="59351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35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UML Use Case Diagram</w:t>
      </w:r>
    </w:p>
    <w:p>
      <w:pPr>
        <w:spacing w:after="80" w:line="252" w:lineRule="auto"/>
      </w:pPr>
      <w:r>
        <w:t>Figure 1 shows the four actors and their use cases. The Administrator inherits every Attendant use case. &lt;&lt;include&gt;&gt; marks steps that always run (slot assignment and route, ticket and QR generation, fee calculation, receipt) and &lt;&lt;extend&gt;&gt; marks the predicted wait time, which is shown only when a category is full.</w:t>
      </w:r>
    </w:p>
    <w:p>
      <w:pPr>
        <w:pStyle w:val="Heading1"/>
        <w:keepNext/>
        <w:spacing w:before="160" w:after="60"/>
      </w:pPr>
      <w:r>
        <w:t>8. Requirements Traceability Matrix (RTM)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5474"/>
        <w:gridCol w:w="3387"/>
        <w:gridCol w:w="931"/>
      </w:tblGrid>
      <w:tr>
        <w:trPr>
          <w:cantSplit/>
          <w:tblHeader/>
        </w:trPr>
        <w:tc>
          <w:tcPr>
            <w:tcW w:type="dxa" w:w="547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Requirement(s)</w:t>
            </w:r>
          </w:p>
        </w:tc>
        <w:tc>
          <w:tcPr>
            <w:tcW w:type="dxa" w:w="338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Test Case(s)</w:t>
            </w:r>
          </w:p>
        </w:tc>
        <w:tc>
          <w:tcPr>
            <w:tcW w:type="dxa" w:w="9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547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REQ-SLOT-01, 02, 03, 04</w:t>
            </w:r>
          </w:p>
        </w:tc>
        <w:tc>
          <w:tcPr>
            <w:tcW w:type="dxa" w:w="338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TC-01, TC-10, TC-03, TC-05</w:t>
            </w:r>
          </w:p>
        </w:tc>
        <w:tc>
          <w:tcPr>
            <w:tcW w:type="dxa" w:w="9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47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REQ-LOG-01, 02, 03, 04</w:t>
            </w:r>
          </w:p>
        </w:tc>
        <w:tc>
          <w:tcPr>
            <w:tcW w:type="dxa" w:w="338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TC-01, TC-02</w:t>
            </w:r>
          </w:p>
        </w:tc>
        <w:tc>
          <w:tcPr>
            <w:tcW w:type="dxa" w:w="9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47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REQ-PAY-01, 02, 03; BR-01, BR-02</w:t>
            </w:r>
          </w:p>
        </w:tc>
        <w:tc>
          <w:tcPr>
            <w:tcW w:type="dxa" w:w="338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TC-06, TC-07</w:t>
            </w:r>
          </w:p>
        </w:tc>
        <w:tc>
          <w:tcPr>
            <w:tcW w:type="dxa" w:w="9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47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REQ-REP-01, 02, 03; NFR-PERF-05</w:t>
            </w:r>
          </w:p>
        </w:tc>
        <w:tc>
          <w:tcPr>
            <w:tcW w:type="dxa" w:w="338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TC-08</w:t>
            </w:r>
          </w:p>
        </w:tc>
        <w:tc>
          <w:tcPr>
            <w:tcW w:type="dxa" w:w="9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47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REQ-USR-01, 02</w:t>
            </w:r>
          </w:p>
        </w:tc>
        <w:tc>
          <w:tcPr>
            <w:tcW w:type="dxa" w:w="338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TC-15</w:t>
            </w:r>
          </w:p>
        </w:tc>
        <w:tc>
          <w:tcPr>
            <w:tcW w:type="dxa" w:w="9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47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REQ-NAV-01, 02, 03, 04</w:t>
            </w:r>
          </w:p>
        </w:tc>
        <w:tc>
          <w:tcPr>
            <w:tcW w:type="dxa" w:w="338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TC-04</w:t>
            </w:r>
          </w:p>
        </w:tc>
        <w:tc>
          <w:tcPr>
            <w:tcW w:type="dxa" w:w="9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47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REQ-PRED-01, 02, 03; REQ-PRED-04</w:t>
            </w:r>
          </w:p>
        </w:tc>
        <w:tc>
          <w:tcPr>
            <w:tcW w:type="dxa" w:w="338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TC-05; TC-09</w:t>
            </w:r>
          </w:p>
        </w:tc>
        <w:tc>
          <w:tcPr>
            <w:tcW w:type="dxa" w:w="9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47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NFR-PERF-01, 02, 04</w:t>
            </w:r>
          </w:p>
        </w:tc>
        <w:tc>
          <w:tcPr>
            <w:tcW w:type="dxa" w:w="338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TC-10</w:t>
            </w:r>
          </w:p>
        </w:tc>
        <w:tc>
          <w:tcPr>
            <w:tcW w:type="dxa" w:w="9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47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NFR-PERF-03, NFR-REL-02</w:t>
            </w:r>
          </w:p>
        </w:tc>
        <w:tc>
          <w:tcPr>
            <w:tcW w:type="dxa" w:w="338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TC-11</w:t>
            </w:r>
          </w:p>
        </w:tc>
        <w:tc>
          <w:tcPr>
            <w:tcW w:type="dxa" w:w="9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47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NFR-REL-01; NFR-REL-04; NFR-REL-03</w:t>
            </w:r>
          </w:p>
        </w:tc>
        <w:tc>
          <w:tcPr>
            <w:tcW w:type="dxa" w:w="338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TC-02; TC-07; TC-12</w:t>
            </w:r>
          </w:p>
        </w:tc>
        <w:tc>
          <w:tcPr>
            <w:tcW w:type="dxa" w:w="9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47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SEC-01, 02 / SEC-03, 08 / SEC-04, 05 / SEC-06, 07</w:t>
            </w:r>
          </w:p>
        </w:tc>
        <w:tc>
          <w:tcPr>
            <w:tcW w:type="dxa" w:w="338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TC-14 / TC-15 / TC-16 / TC-17</w:t>
            </w:r>
          </w:p>
        </w:tc>
        <w:tc>
          <w:tcPr>
            <w:tcW w:type="dxa" w:w="9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47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QA-USE-01; QA-POR-01, OR-02</w:t>
            </w:r>
          </w:p>
        </w:tc>
        <w:tc>
          <w:tcPr>
            <w:tcW w:type="dxa" w:w="338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TC-13; TC-12</w:t>
            </w:r>
          </w:p>
        </w:tc>
        <w:tc>
          <w:tcPr>
            <w:tcW w:type="dxa" w:w="9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47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BR-03, OR-01, OR-04</w:t>
            </w:r>
          </w:p>
        </w:tc>
        <w:tc>
          <w:tcPr>
            <w:tcW w:type="dxa" w:w="338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TC-09</w:t>
            </w:r>
          </w:p>
        </w:tc>
        <w:tc>
          <w:tcPr>
            <w:tcW w:type="dxa" w:w="9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47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QA-MOD-01, QA-MNT-01, OR-03</w:t>
            </w:r>
          </w:p>
        </w:tc>
        <w:tc>
          <w:tcPr>
            <w:tcW w:type="dxa" w:w="338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Code inspection (flake8: 0 errors)</w:t>
            </w:r>
          </w:p>
        </w:tc>
        <w:tc>
          <w:tcPr>
            <w:tcW w:type="dxa" w:w="93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</w:tbl>
    <w:p/>
    <w:p>
      <w:pPr>
        <w:spacing w:after="80" w:line="252" w:lineRule="auto"/>
      </w:pPr>
      <w:r>
        <w:t>Coverage: every SRS v2.0 requirement is traced and verified (100%).</w:t>
      </w:r>
    </w:p>
    <w:p>
      <w:pPr>
        <w:pStyle w:val="Heading1"/>
        <w:spacing w:before="160" w:after="60"/>
      </w:pPr>
      <w:r>
        <w:t>9. Other Requirements</w:t>
      </w:r>
    </w:p>
    <w:p>
      <w:pPr>
        <w:spacing w:after="80" w:line="252" w:lineRule="auto"/>
      </w:pPr>
      <w:r>
        <w:t>OR-01: first run loads a 6 x 8 layout with 20 slots (10 Car, 4 Two-Wheeler, 2 Accessible, 4 EV), an Admin and an Attendant account. OR-02: starts with python run.py. OR-03: code organised by rubric area. OR-04: an admin-only Demo Clock advances app time (5 min / 1 h / 1 day) to simulate durations.</w:t>
      </w:r>
    </w:p>
    <w:p>
      <w:pPr>
        <w:pStyle w:val="Heading1"/>
        <w:spacing w:before="160" w:after="60"/>
      </w:pPr>
      <w:r>
        <w:t>Appendix A: Glossary</w:t>
      </w:r>
    </w:p>
    <w:p>
      <w:pPr>
        <w:spacing w:after="80" w:line="252" w:lineRule="auto"/>
      </w:pPr>
      <w:r>
        <w:t>BFS: breadth-first search, shortest path in an unweighted graph. Dwell time: exit time minus entry time. Demo Clock: app-level time offset. Mock payment: stubbed payment with no real transaction. CSRF/XSS: request forgery / script injection attacks.</w:t>
      </w:r>
    </w:p>
    <w:p>
      <w:pPr>
        <w:pStyle w:val="Heading1"/>
        <w:spacing w:before="160" w:after="60"/>
      </w:pPr>
      <w:r>
        <w:t>Appendix B: Analysis Models</w:t>
      </w:r>
    </w:p>
    <w:p>
      <w:pPr>
        <w:spacing w:after="80" w:line="252" w:lineRule="auto"/>
      </w:pPr>
      <w:r>
        <w:t>Use case model: Figure 1. Workflow: plate entered, slot assigned and ticket issued, exit, fee, mock payment, receipt, slot freed. Slot states: Vacant to Occupied on entry; back to Vacant on successful payment; Reserved set by admin.</w:t>
      </w:r>
    </w:p>
    <w:p>
      <w:pPr>
        <w:pStyle w:val="Heading1"/>
        <w:spacing w:before="160" w:after="60"/>
      </w:pPr>
      <w:r>
        <w:t>Appendix C: To Be Determined List</w:t>
      </w:r>
    </w:p>
    <w:p>
      <w:pPr>
        <w:spacing w:after="80" w:line="252" w:lineRule="auto"/>
      </w:pPr>
      <w:r>
        <w:t>TBD-01 to 03, 05, 06 resolved in v2.0 (Flask, SQLite, web UI, 6 x 8 default grid, per-category prediction). TBD-04 (open): real hardware and production security, future scope.</w:t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footerReference w:type="first" r:id="rId13"/>
      <w:pgSz w:w="12240" w:h="15840"/>
      <w:pgMar w:top="1080" w:right="1224" w:bottom="1008" w:left="1224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7"/>
      </w:rPr>
      <w:t xml:space="preserve">Team 10 | Vehicle Parking System |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7"/>
      </w:rPr>
      <w:t>Software Requirements Specification | Vehicle Parking System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000000"/>
      </w:pBdr>
      <w:spacing w:after="300" w:line="240" w:lineRule="auto"/>
      <w:contextualSpacing/>
    </w:pPr>
    <w:rPr>
      <w:rFonts w:ascii="Times New Roman" w:hAnsi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