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2752"/>
          <w:sz w:val="22"/>
        </w:rPr>
        <w:t>UNIVERSIDAD DEL QUINDÍO</w:t>
        <w:br/>
        <w:t>FACULTAD DE INGENIERÍA</w:t>
        <w:br/>
        <w:t>PROGRAMA DE INGENIERÍA DE SISTEMAS Y COMPUTACIÓN</w:t>
        <w:br/>
        <w:t>INGENIERÍA DE SOFTWARE III</w:t>
      </w:r>
    </w:p>
    <w:p>
      <w:pPr>
        <w:spacing w:before="800"/>
      </w:pPr>
    </w:p>
    <w:p>
      <w:pPr>
        <w:jc w:val="center"/>
      </w:pPr>
      <w:r>
        <w:rPr>
          <w:rFonts w:ascii="Arial" w:hAnsi="Arial"/>
          <w:b/>
          <w:color w:val="002752"/>
          <w:sz w:val="56"/>
        </w:rPr>
        <w:t>MANUAL DE USUARIO</w:t>
        <w:br/>
        <w:t>ECOAULA</w:t>
      </w:r>
    </w:p>
    <w:p>
      <w:pPr>
        <w:jc w:val="center"/>
      </w:pPr>
      <w:r>
        <w:rPr>
          <w:rFonts w:ascii="Arial" w:hAnsi="Arial"/>
          <w:i/>
          <w:color w:val="004DA3"/>
          <w:sz w:val="26"/>
        </w:rPr>
        <w:t>Plataforma Accesible de Cursos Complementarios Cortos para Personas con Discapacidad Visual</w:t>
        <w:br/>
        <w:br/>
        <w:t>(Proceso 1: Inscripción y Matrícula · Proceso 2: Gestión de Contenido Accesible)</w:t>
      </w:r>
    </w:p>
    <w:p>
      <w:pPr>
        <w:spacing w:before="1200"/>
      </w:pP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r>
              <w:rPr>
                <w:rFonts w:ascii="Arial" w:hAnsi="Arial"/>
                <w:b/>
                <w:color w:val="002752"/>
                <w:sz w:val="20"/>
              </w:rPr>
              <w:t>Proyecto:</w:t>
            </w:r>
          </w:p>
        </w:tc>
        <w:tc>
          <w:tcPr>
            <w:tcW w:type="dxa" w:w="6192"/>
            <w:shd w:fill="FFFFFF"/>
            <w:tcMar>
              <w:top w:w="60" w:type="dxa"/>
              <w:bottom w:w="60" w:type="dxa"/>
              <w:left w:w="100" w:type="dxa"/>
              <w:right w:w="100" w:type="dxa"/>
            </w:tcMar>
          </w:tcPr>
          <w:p>
            <w:r>
              <w:rPr>
                <w:rFonts w:ascii="Arial" w:hAnsi="Arial"/>
                <w:color w:val="333333"/>
                <w:sz w:val="20"/>
              </w:rPr>
              <w:t>EcoAula — Aprendizaje Accesible</w:t>
            </w:r>
          </w:p>
        </w:tc>
      </w:tr>
      <w:tr>
        <w:tc>
          <w:tcPr>
            <w:tcW w:type="dxa" w:w="3168"/>
            <w:shd w:fill="F0F4F8"/>
            <w:tcMar>
              <w:top w:w="60" w:type="dxa"/>
              <w:bottom w:w="60" w:type="dxa"/>
              <w:left w:w="100" w:type="dxa"/>
              <w:right w:w="100" w:type="dxa"/>
            </w:tcMar>
          </w:tcPr>
          <w:p>
            <w:r>
              <w:rPr>
                <w:rFonts w:ascii="Arial" w:hAnsi="Arial"/>
                <w:b/>
                <w:color w:val="002752"/>
                <w:sz w:val="20"/>
              </w:rPr>
              <w:t>Autores:</w:t>
            </w:r>
          </w:p>
        </w:tc>
        <w:tc>
          <w:tcPr>
            <w:tcW w:type="dxa" w:w="6192"/>
            <w:shd w:fill="FFFFFF"/>
            <w:tcMar>
              <w:top w:w="60" w:type="dxa"/>
              <w:bottom w:w="60" w:type="dxa"/>
              <w:left w:w="100" w:type="dxa"/>
              <w:right w:w="100" w:type="dxa"/>
            </w:tcMar>
          </w:tcPr>
          <w:p>
            <w:r>
              <w:rPr>
                <w:rFonts w:ascii="Arial" w:hAnsi="Arial"/>
                <w:color w:val="333333"/>
                <w:sz w:val="20"/>
              </w:rPr>
              <w:t>Natalia Ramírez Liévano (nramirezl@uqvirtual.edu.co)</w:t>
              <w:br/>
              <w:t>Karen Vanessa Restrepo Morales (karen.restrepom@uqvirtual.edu.co)</w:t>
              <w:br/>
              <w:t>Leonardo Gallego Ríos (lgallegor@uqvirtual.edu.co)</w:t>
            </w:r>
          </w:p>
        </w:tc>
      </w:tr>
      <w:tr>
        <w:tc>
          <w:tcPr>
            <w:tcW w:type="dxa" w:w="3168"/>
            <w:shd w:fill="F0F4F8"/>
            <w:tcMar>
              <w:top w:w="60" w:type="dxa"/>
              <w:bottom w:w="60" w:type="dxa"/>
              <w:left w:w="100" w:type="dxa"/>
              <w:right w:w="100" w:type="dxa"/>
            </w:tcMar>
          </w:tcPr>
          <w:p>
            <w:r>
              <w:rPr>
                <w:rFonts w:ascii="Arial" w:hAnsi="Arial"/>
                <w:b/>
                <w:color w:val="002752"/>
                <w:sz w:val="20"/>
              </w:rPr>
              <w:t>Alcance de Entrega:</w:t>
            </w:r>
          </w:p>
        </w:tc>
        <w:tc>
          <w:tcPr>
            <w:tcW w:type="dxa" w:w="6192"/>
            <w:shd w:fill="FFFFFF"/>
            <w:tcMar>
              <w:top w:w="60" w:type="dxa"/>
              <w:bottom w:w="60" w:type="dxa"/>
              <w:left w:w="100" w:type="dxa"/>
              <w:right w:w="100" w:type="dxa"/>
            </w:tcMar>
          </w:tcPr>
          <w:p>
            <w:r>
              <w:rPr>
                <w:rFonts w:ascii="Arial" w:hAnsi="Arial"/>
                <w:color w:val="333333"/>
                <w:sz w:val="20"/>
              </w:rPr>
              <w:t>Proceso 1: Registro, Perfil y Matrícula</w:t>
              <w:br/>
              <w:t>Proceso 2: Gestión Editorial y Revisión WCAG 2.1 AA</w:t>
            </w:r>
          </w:p>
        </w:tc>
      </w:tr>
      <w:tr>
        <w:tc>
          <w:tcPr>
            <w:tcW w:type="dxa" w:w="3168"/>
            <w:shd w:fill="F0F4F8"/>
            <w:tcMar>
              <w:top w:w="60" w:type="dxa"/>
              <w:bottom w:w="60" w:type="dxa"/>
              <w:left w:w="100" w:type="dxa"/>
              <w:right w:w="100" w:type="dxa"/>
            </w:tcMar>
          </w:tcPr>
          <w:p>
            <w:r>
              <w:rPr>
                <w:rFonts w:ascii="Arial" w:hAnsi="Arial"/>
                <w:b/>
                <w:color w:val="002752"/>
                <w:sz w:val="20"/>
              </w:rPr>
              <w:t>Despliegue Oficial:</w:t>
            </w:r>
          </w:p>
        </w:tc>
        <w:tc>
          <w:tcPr>
            <w:tcW w:type="dxa" w:w="6192"/>
            <w:shd w:fill="FFFFFF"/>
            <w:tcMar>
              <w:top w:w="60" w:type="dxa"/>
              <w:bottom w:w="60" w:type="dxa"/>
              <w:left w:w="100" w:type="dxa"/>
              <w:right w:w="100" w:type="dxa"/>
            </w:tcMar>
          </w:tcPr>
          <w:p>
            <w:r>
              <w:rPr>
                <w:rFonts w:ascii="Arial" w:hAnsi="Arial"/>
                <w:color w:val="333333"/>
                <w:sz w:val="20"/>
              </w:rPr>
              <w:t>AWS Lightsail (HTTPS Let's Encrypt)</w:t>
              <w:br/>
              <w:t>URL: https://3-237-185-159.sslip.io</w:t>
            </w:r>
          </w:p>
        </w:tc>
      </w:tr>
      <w:tr>
        <w:tc>
          <w:tcPr>
            <w:tcW w:type="dxa" w:w="3168"/>
            <w:shd w:fill="F0F4F8"/>
            <w:tcMar>
              <w:top w:w="60" w:type="dxa"/>
              <w:bottom w:w="60" w:type="dxa"/>
              <w:left w:w="100" w:type="dxa"/>
              <w:right w:w="100" w:type="dxa"/>
            </w:tcMar>
          </w:tcPr>
          <w:p>
            <w:r>
              <w:rPr>
                <w:rFonts w:ascii="Arial" w:hAnsi="Arial"/>
                <w:b/>
                <w:color w:val="002752"/>
                <w:sz w:val="20"/>
              </w:rPr>
              <w:t>Fecha:</w:t>
            </w:r>
          </w:p>
        </w:tc>
        <w:tc>
          <w:tcPr>
            <w:tcW w:type="dxa" w:w="6192"/>
            <w:shd w:fill="FFFFFF"/>
            <w:tcMar>
              <w:top w:w="60" w:type="dxa"/>
              <w:bottom w:w="60" w:type="dxa"/>
              <w:left w:w="100" w:type="dxa"/>
              <w:right w:w="100" w:type="dxa"/>
            </w:tcMar>
          </w:tcPr>
          <w:p>
            <w:r>
              <w:rPr>
                <w:rFonts w:ascii="Arial" w:hAnsi="Arial"/>
                <w:color w:val="333333"/>
                <w:sz w:val="20"/>
              </w:rPr>
              <w:t>Octubre de 2026 — Armenia, Quindío</w:t>
            </w:r>
          </w:p>
        </w:tc>
      </w:tr>
    </w:tbl>
    <w:p>
      <w:r>
        <w:br w:type="page"/>
      </w:r>
    </w:p>
    <w:p>
      <w:pPr>
        <w:pStyle w:val="Heading1"/>
      </w:pPr>
      <w:r>
        <w:rPr>
          <w:rFonts w:ascii="Arial" w:hAnsi="Arial"/>
          <w:color w:val="002752"/>
        </w:rPr>
        <w:t>Bienvenido a EcoAula</w:t>
      </w:r>
    </w:p>
    <w:p>
      <w:pPr>
        <w:spacing w:line="276" w:lineRule="auto" w:after="200"/>
      </w:pPr>
      <w:r>
        <w:t>EcoAula es una solución de software diseñada bajo los principios de diseño universal y accesibilidad web estricta (WCAG 2.1 nivel AA y NTC 5854), con el propósito de garantizar que personas con discapacidad visual (ciegas o con baja visión) puedan inscribirse, aprender y culminar cursos complementarios cortos de forma completamente autónoma, sin depender de intermediarios, llamadas telefónicas o formatos inaccesibles.</w:t>
        <w:br/>
        <w:br/>
        <w:t>Este manual describe de forma paso a paso y visual el funcionamiento de los dos procesos transaccionales centrales de la plataforma:</w:t>
      </w:r>
    </w:p>
    <w:p>
      <w:pPr>
        <w:pStyle w:val="ListBullet"/>
      </w:pPr>
      <w:r>
        <w:rPr>
          <w:b/>
        </w:rPr>
        <w:t xml:space="preserve">Proceso 1: Gestión de Inscripción y Matrícula Accesible (Rol Aprendiz). </w:t>
      </w:r>
      <w:r>
        <w:t>Permite la creación de cuentas accesibles, configuración persistente de preferencias de visualización y voz, consulta del catálogo de cursos con control de cupos y matrícula inmediata.</w:t>
      </w:r>
    </w:p>
    <w:p>
      <w:pPr>
        <w:pStyle w:val="ListBullet"/>
      </w:pPr>
      <w:r>
        <w:rPr>
          <w:b/>
        </w:rPr>
        <w:t xml:space="preserve">Proceso 2: Gestión y Publicación de Contenido Accesible (Rol Gestor de Contenido y Revisor). </w:t>
      </w:r>
      <w:r>
        <w:t>Garantiza la producción de contenidos educativos bajo un ciclo editorial inmutable (ADR-08), exigencia legal de licencias (Ley 23 de 1982), obligatoriedad de texto alternativo en imágenes (WCAG 1.1.1) y auditoría técnica mediante lista de chequeo.</w:t>
      </w:r>
    </w:p>
    <w:tbl>
      <w:tblPr>
        <w:tblW w:type="auto" w:w="0"/>
        <w:jc w:val="center"/>
        <w:tblLook w:firstColumn="1" w:firstRow="1" w:lastColumn="0" w:lastRow="0" w:noHBand="0" w:noVBand="1" w:val="04A0"/>
      </w:tblPr>
      <w:tblGrid>
        <w:gridCol w:w="9360"/>
      </w:tblGrid>
      <w:tr>
        <w:tc>
          <w:tcPr>
            <w:tcW w:type="dxa" w:w="9360"/>
            <w:shd w:fill="E8F4FD"/>
            <w:tcMar>
              <w:top w:w="100" w:type="dxa"/>
              <w:bottom w:w="100" w:type="dxa"/>
              <w:left w:w="150" w:type="dxa"/>
              <w:right w:w="150" w:type="dxa"/>
            </w:tcMar>
          </w:tcPr>
          <w:p>
            <w:r>
              <w:rPr>
                <w:b/>
                <w:color w:val="002752"/>
              </w:rPr>
              <w:t>Compromiso de Accesibilidad y Tecnologías de Asistencia:</w:t>
              <w:br/>
            </w:r>
            <w:r>
              <w:rPr>
                <w:sz w:val="19"/>
              </w:rPr>
              <w:t>Toda la interfaz cuenta con navegación completa por teclado (Tab, Enter, Espacio, Flechas), atajos directos de salto al contenido principal (WCAG 2.4.1), compatibilidad probada con lectores de pantalla (NVDA, JAWS y VoiceOver), y soporte nativo para el reflow y aumento visual al 200% sin pérdida de información (WCAG 1.4.10).</w:t>
            </w:r>
          </w:p>
        </w:tc>
      </w:tr>
    </w:tbl>
    <w:p>
      <w:pPr>
        <w:pStyle w:val="Heading2"/>
      </w:pPr>
      <w:r>
        <w:rPr>
          <w:rFonts w:ascii="Arial" w:hAnsi="Arial"/>
          <w:color w:val="002752"/>
          <w:sz w:val="26"/>
        </w:rPr>
        <w:t>Antes de Empezar: Accesibilidad y Tecnologías Compatibles</w:t>
      </w:r>
    </w:p>
    <w:p>
      <w:pPr>
        <w:spacing w:line="276" w:lineRule="auto" w:after="120"/>
      </w:pPr>
      <w:r>
        <w:t>Principio de diseño: No es necesario usar el ratón; todas las funciones de EcoAula operan al 100% con teclado y tecnologías de asistencia estándar en navegadores web modernos.</w:t>
      </w:r>
    </w:p>
    <w:tbl>
      <w:tblPr>
        <w:tblW w:type="auto" w:w="0"/>
        <w:jc w:val="center"/>
        <w:tblLayout w:type="fixed"/>
        <w:tblLook w:firstColumn="1" w:firstRow="1" w:lastColumn="0" w:lastRow="0" w:noHBand="0" w:noVBand="1" w:val="04A0"/>
      </w:tblPr>
      <w:tblGrid>
        <w:gridCol w:w="4680"/>
        <w:gridCol w:w="4680"/>
      </w:tblGrid>
      <w:tr>
        <w:tc>
          <w:tcPr>
            <w:tcW w:type="dxa" w:w="3168"/>
            <w:shd w:fill="EBF3EE"/>
            <w:tcMar>
              <w:top w:w="50" w:type="dxa"/>
              <w:bottom w:w="50" w:type="dxa"/>
              <w:left w:w="80" w:type="dxa"/>
              <w:right w:w="80" w:type="dxa"/>
            </w:tcMar>
          </w:tcPr>
          <w:p>
            <w:r>
              <w:rPr>
                <w:rFonts w:ascii="Arial" w:hAnsi="Arial"/>
                <w:b/>
                <w:color w:val="155724"/>
                <w:sz w:val="18"/>
              </w:rPr>
              <w:t>Categoría</w:t>
            </w:r>
          </w:p>
        </w:tc>
        <w:tc>
          <w:tcPr>
            <w:tcW w:type="dxa" w:w="6192"/>
            <w:shd w:fill="EBF3EE"/>
            <w:tcMar>
              <w:top w:w="50" w:type="dxa"/>
              <w:bottom w:w="50" w:type="dxa"/>
              <w:left w:w="80" w:type="dxa"/>
              <w:right w:w="80" w:type="dxa"/>
            </w:tcMar>
          </w:tcPr>
          <w:p>
            <w:r>
              <w:rPr>
                <w:rFonts w:ascii="Arial" w:hAnsi="Arial"/>
                <w:b/>
                <w:color w:val="155724"/>
                <w:sz w:val="18"/>
              </w:rPr>
              <w:t>Tecnologías Soportadas y Recomendadas</w:t>
            </w:r>
          </w:p>
        </w:tc>
      </w:tr>
      <w:tr>
        <w:tc>
          <w:tcPr>
            <w:tcW w:type="dxa" w:w="3168"/>
            <w:shd w:fill="F7FAFC"/>
            <w:tcMar>
              <w:top w:w="50" w:type="dxa"/>
              <w:bottom w:w="50" w:type="dxa"/>
              <w:left w:w="80" w:type="dxa"/>
              <w:right w:w="80" w:type="dxa"/>
            </w:tcMar>
          </w:tcPr>
          <w:p>
            <w:r>
              <w:rPr>
                <w:rFonts w:ascii="Arial" w:hAnsi="Arial"/>
                <w:b/>
                <w:color w:val="002752"/>
                <w:sz w:val="18"/>
              </w:rPr>
              <w:t>Lectores de pantalla</w:t>
            </w:r>
          </w:p>
        </w:tc>
        <w:tc>
          <w:tcPr>
            <w:tcW w:type="dxa" w:w="6192"/>
            <w:shd w:fill="F7FAFC"/>
            <w:tcMar>
              <w:top w:w="50" w:type="dxa"/>
              <w:bottom w:w="50" w:type="dxa"/>
              <w:left w:w="80" w:type="dxa"/>
              <w:right w:w="80" w:type="dxa"/>
            </w:tcMar>
          </w:tcPr>
          <w:p>
            <w:r>
              <w:rPr>
                <w:rFonts w:ascii="Arial" w:hAnsi="Arial"/>
                <w:color w:val="333333"/>
                <w:sz w:val="18"/>
              </w:rPr>
              <w:t>NVDA (Windows), JAWS (Windows), VoiceOver (macOS / iOS), TalkBack (Android).</w:t>
            </w:r>
          </w:p>
        </w:tc>
      </w:tr>
      <w:tr>
        <w:tc>
          <w:tcPr>
            <w:tcW w:type="dxa" w:w="3168"/>
            <w:shd w:fill="FFFFFF"/>
            <w:tcMar>
              <w:top w:w="50" w:type="dxa"/>
              <w:bottom w:w="50" w:type="dxa"/>
              <w:left w:w="80" w:type="dxa"/>
              <w:right w:w="80" w:type="dxa"/>
            </w:tcMar>
          </w:tcPr>
          <w:p>
            <w:r>
              <w:rPr>
                <w:rFonts w:ascii="Arial" w:hAnsi="Arial"/>
                <w:b/>
                <w:color w:val="002752"/>
                <w:sz w:val="18"/>
              </w:rPr>
              <w:t>Ampliación y Braille</w:t>
            </w:r>
          </w:p>
        </w:tc>
        <w:tc>
          <w:tcPr>
            <w:tcW w:type="dxa" w:w="6192"/>
            <w:shd w:fill="FFFFFF"/>
            <w:tcMar>
              <w:top w:w="50" w:type="dxa"/>
              <w:bottom w:w="50" w:type="dxa"/>
              <w:left w:w="80" w:type="dxa"/>
              <w:right w:w="80" w:type="dxa"/>
            </w:tcMar>
          </w:tcPr>
          <w:p>
            <w:r>
              <w:rPr>
                <w:rFonts w:ascii="Arial" w:hAnsi="Arial"/>
                <w:color w:val="333333"/>
                <w:sz w:val="18"/>
              </w:rPr>
              <w:t>Ampliadores nativos de pantalla, ZoomText y terminales de línea braille efímera.</w:t>
            </w:r>
          </w:p>
        </w:tc>
      </w:tr>
      <w:tr>
        <w:tc>
          <w:tcPr>
            <w:tcW w:type="dxa" w:w="3168"/>
            <w:shd w:fill="F7FAFC"/>
            <w:tcMar>
              <w:top w:w="50" w:type="dxa"/>
              <w:bottom w:w="50" w:type="dxa"/>
              <w:left w:w="80" w:type="dxa"/>
              <w:right w:w="80" w:type="dxa"/>
            </w:tcMar>
          </w:tcPr>
          <w:p>
            <w:r>
              <w:rPr>
                <w:rFonts w:ascii="Arial" w:hAnsi="Arial"/>
                <w:b/>
                <w:color w:val="002752"/>
                <w:sz w:val="18"/>
              </w:rPr>
              <w:t>Navegadores recomendados</w:t>
            </w:r>
          </w:p>
        </w:tc>
        <w:tc>
          <w:tcPr>
            <w:tcW w:type="dxa" w:w="6192"/>
            <w:shd w:fill="F7FAFC"/>
            <w:tcMar>
              <w:top w:w="50" w:type="dxa"/>
              <w:bottom w:w="50" w:type="dxa"/>
              <w:left w:w="80" w:type="dxa"/>
              <w:right w:w="80" w:type="dxa"/>
            </w:tcMar>
          </w:tcPr>
          <w:p>
            <w:r>
              <w:rPr>
                <w:rFonts w:ascii="Arial" w:hAnsi="Arial"/>
                <w:color w:val="333333"/>
                <w:sz w:val="18"/>
              </w:rPr>
              <w:t>Google Chrome, Microsoft Edge, Mozilla Firefox o Safari (con conexión a internet).</w:t>
            </w:r>
          </w:p>
        </w:tc>
      </w:tr>
    </w:tbl>
    <w:p>
      <w:pPr>
        <w:pStyle w:val="Heading2"/>
      </w:pPr>
      <w:r>
        <w:rPr>
          <w:rFonts w:ascii="Arial" w:hAnsi="Arial"/>
          <w:color w:val="002752"/>
          <w:sz w:val="26"/>
        </w:rPr>
        <w:t>Matriz de Actores: ¿Quién usa EcoAula?</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EBF3EE"/>
            <w:tcMar>
              <w:top w:w="50" w:type="dxa"/>
              <w:bottom w:w="50" w:type="dxa"/>
              <w:left w:w="80" w:type="dxa"/>
              <w:right w:w="80" w:type="dxa"/>
            </w:tcMar>
          </w:tcPr>
          <w:p>
            <w:r>
              <w:rPr>
                <w:rFonts w:ascii="Arial" w:hAnsi="Arial"/>
                <w:b/>
                <w:color w:val="155724"/>
                <w:sz w:val="19"/>
              </w:rPr>
              <w:t>Rol / Actor</w:t>
            </w:r>
          </w:p>
        </w:tc>
        <w:tc>
          <w:tcPr>
            <w:tcW w:type="dxa" w:w="4608"/>
            <w:shd w:fill="EBF3EE"/>
            <w:tcMar>
              <w:top w:w="50" w:type="dxa"/>
              <w:bottom w:w="50" w:type="dxa"/>
              <w:left w:w="80" w:type="dxa"/>
              <w:right w:w="80" w:type="dxa"/>
            </w:tcMar>
          </w:tcPr>
          <w:p>
            <w:r>
              <w:rPr>
                <w:rFonts w:ascii="Arial" w:hAnsi="Arial"/>
                <w:b/>
                <w:color w:val="155724"/>
                <w:sz w:val="19"/>
              </w:rPr>
              <w:t>Qué hace en la plataforma</w:t>
            </w:r>
          </w:p>
        </w:tc>
        <w:tc>
          <w:tcPr>
            <w:tcW w:type="dxa" w:w="2160"/>
            <w:shd w:fill="EBF3EE"/>
            <w:tcMar>
              <w:top w:w="50" w:type="dxa"/>
              <w:bottom w:w="50" w:type="dxa"/>
              <w:left w:w="80" w:type="dxa"/>
              <w:right w:w="80" w:type="dxa"/>
            </w:tcMar>
          </w:tcPr>
          <w:p>
            <w:r>
              <w:rPr>
                <w:rFonts w:ascii="Arial" w:hAnsi="Arial"/>
                <w:b/>
                <w:color w:val="155724"/>
                <w:sz w:val="19"/>
              </w:rPr>
              <w:t>Vista inicial al acceder</w:t>
            </w:r>
          </w:p>
        </w:tc>
      </w:tr>
      <w:tr>
        <w:tc>
          <w:tcPr>
            <w:tcW w:type="dxa" w:w="2592"/>
            <w:shd w:fill="F7FAFC"/>
            <w:tcMar>
              <w:top w:w="50" w:type="dxa"/>
              <w:bottom w:w="50" w:type="dxa"/>
              <w:left w:w="80" w:type="dxa"/>
              <w:right w:w="80" w:type="dxa"/>
            </w:tcMar>
          </w:tcPr>
          <w:p>
            <w:r>
              <w:rPr>
                <w:rFonts w:ascii="Arial" w:hAnsi="Arial"/>
                <w:b/>
                <w:color w:val="002752"/>
                <w:sz w:val="17"/>
              </w:rPr>
              <w:t>Visitante (sin cuenta)</w:t>
            </w:r>
          </w:p>
        </w:tc>
        <w:tc>
          <w:tcPr>
            <w:tcW w:type="dxa" w:w="4608"/>
            <w:shd w:fill="F7FAFC"/>
            <w:tcMar>
              <w:top w:w="50" w:type="dxa"/>
              <w:bottom w:w="50" w:type="dxa"/>
              <w:left w:w="80" w:type="dxa"/>
              <w:right w:w="80" w:type="dxa"/>
            </w:tcMar>
          </w:tcPr>
          <w:p>
            <w:r>
              <w:rPr>
                <w:rFonts w:ascii="Arial" w:hAnsi="Arial"/>
                <w:b w:val="0"/>
                <w:color w:val="333333"/>
                <w:sz w:val="17"/>
              </w:rPr>
              <w:t>Consulta información pública, se registra, inicia sesión o reporta barreras.</w:t>
            </w:r>
          </w:p>
        </w:tc>
        <w:tc>
          <w:tcPr>
            <w:tcW w:type="dxa" w:w="2160"/>
            <w:shd w:fill="F7FAFC"/>
            <w:tcMar>
              <w:top w:w="50" w:type="dxa"/>
              <w:bottom w:w="50" w:type="dxa"/>
              <w:left w:w="80" w:type="dxa"/>
              <w:right w:w="80" w:type="dxa"/>
            </w:tcMar>
          </w:tcPr>
          <w:p>
            <w:r>
              <w:rPr>
                <w:rFonts w:ascii="Arial" w:hAnsi="Arial"/>
                <w:b w:val="0"/>
                <w:color w:val="333333"/>
                <w:sz w:val="17"/>
              </w:rPr>
              <w:t>/login o /reportar-barrera</w:t>
            </w:r>
          </w:p>
        </w:tc>
      </w:tr>
      <w:tr>
        <w:tc>
          <w:tcPr>
            <w:tcW w:type="dxa" w:w="2592"/>
            <w:shd w:fill="FFFFFF"/>
            <w:tcMar>
              <w:top w:w="50" w:type="dxa"/>
              <w:bottom w:w="50" w:type="dxa"/>
              <w:left w:w="80" w:type="dxa"/>
              <w:right w:w="80" w:type="dxa"/>
            </w:tcMar>
          </w:tcPr>
          <w:p>
            <w:r>
              <w:rPr>
                <w:rFonts w:ascii="Arial" w:hAnsi="Arial"/>
                <w:b/>
                <w:color w:val="002752"/>
                <w:sz w:val="17"/>
              </w:rPr>
              <w:t>Aprendiz</w:t>
            </w:r>
          </w:p>
        </w:tc>
        <w:tc>
          <w:tcPr>
            <w:tcW w:type="dxa" w:w="4608"/>
            <w:shd w:fill="FFFFFF"/>
            <w:tcMar>
              <w:top w:w="50" w:type="dxa"/>
              <w:bottom w:w="50" w:type="dxa"/>
              <w:left w:w="80" w:type="dxa"/>
              <w:right w:w="80" w:type="dxa"/>
            </w:tcMar>
          </w:tcPr>
          <w:p>
            <w:r>
              <w:rPr>
                <w:rFonts w:ascii="Arial" w:hAnsi="Arial"/>
                <w:b w:val="0"/>
                <w:color w:val="333333"/>
                <w:sz w:val="17"/>
              </w:rPr>
              <w:t>Configura su perfil sensorial, se matricula en cursos, estudia con audio/transcripción, presenta evaluaciones y obtiene certificados.</w:t>
            </w:r>
          </w:p>
        </w:tc>
        <w:tc>
          <w:tcPr>
            <w:tcW w:type="dxa" w:w="2160"/>
            <w:shd w:fill="FFFFFF"/>
            <w:tcMar>
              <w:top w:w="50" w:type="dxa"/>
              <w:bottom w:w="50" w:type="dxa"/>
              <w:left w:w="80" w:type="dxa"/>
              <w:right w:w="80" w:type="dxa"/>
            </w:tcMar>
          </w:tcPr>
          <w:p>
            <w:r>
              <w:rPr>
                <w:rFonts w:ascii="Arial" w:hAnsi="Arial"/>
                <w:b w:val="0"/>
                <w:color w:val="333333"/>
                <w:sz w:val="17"/>
              </w:rPr>
              <w:t>/cursos (Catálogo)</w:t>
            </w:r>
          </w:p>
        </w:tc>
      </w:tr>
      <w:tr>
        <w:tc>
          <w:tcPr>
            <w:tcW w:type="dxa" w:w="2592"/>
            <w:shd w:fill="F7FAFC"/>
            <w:tcMar>
              <w:top w:w="50" w:type="dxa"/>
              <w:bottom w:w="50" w:type="dxa"/>
              <w:left w:w="80" w:type="dxa"/>
              <w:right w:w="80" w:type="dxa"/>
            </w:tcMar>
          </w:tcPr>
          <w:p>
            <w:r>
              <w:rPr>
                <w:rFonts w:ascii="Arial" w:hAnsi="Arial"/>
                <w:b/>
                <w:color w:val="002752"/>
                <w:sz w:val="17"/>
              </w:rPr>
              <w:t>Gestor de contenido</w:t>
            </w:r>
          </w:p>
        </w:tc>
        <w:tc>
          <w:tcPr>
            <w:tcW w:type="dxa" w:w="4608"/>
            <w:shd w:fill="F7FAFC"/>
            <w:tcMar>
              <w:top w:w="50" w:type="dxa"/>
              <w:bottom w:w="50" w:type="dxa"/>
              <w:left w:w="80" w:type="dxa"/>
              <w:right w:w="80" w:type="dxa"/>
            </w:tcMar>
          </w:tcPr>
          <w:p>
            <w:r>
              <w:rPr>
                <w:rFonts w:ascii="Arial" w:hAnsi="Arial"/>
                <w:b w:val="0"/>
                <w:color w:val="333333"/>
                <w:sz w:val="17"/>
              </w:rPr>
              <w:t>Diseña cursos, administra lecciones, carga audio nativo e imágenes con alt, declara derechos de autor y envía borradores a revisión.</w:t>
            </w:r>
          </w:p>
        </w:tc>
        <w:tc>
          <w:tcPr>
            <w:tcW w:type="dxa" w:w="2160"/>
            <w:shd w:fill="F7FAFC"/>
            <w:tcMar>
              <w:top w:w="50" w:type="dxa"/>
              <w:bottom w:w="50" w:type="dxa"/>
              <w:left w:w="80" w:type="dxa"/>
              <w:right w:w="80" w:type="dxa"/>
            </w:tcMar>
          </w:tcPr>
          <w:p>
            <w:r>
              <w:rPr>
                <w:rFonts w:ascii="Arial" w:hAnsi="Arial"/>
                <w:b w:val="0"/>
                <w:color w:val="333333"/>
                <w:sz w:val="17"/>
              </w:rPr>
              <w:t>/gestor/cursos (Panel)</w:t>
            </w:r>
          </w:p>
        </w:tc>
      </w:tr>
      <w:tr>
        <w:tc>
          <w:tcPr>
            <w:tcW w:type="dxa" w:w="2592"/>
            <w:shd w:fill="FFFFFF"/>
            <w:tcMar>
              <w:top w:w="50" w:type="dxa"/>
              <w:bottom w:w="50" w:type="dxa"/>
              <w:left w:w="80" w:type="dxa"/>
              <w:right w:w="80" w:type="dxa"/>
            </w:tcMar>
          </w:tcPr>
          <w:p>
            <w:r>
              <w:rPr>
                <w:rFonts w:ascii="Arial" w:hAnsi="Arial"/>
                <w:b/>
                <w:color w:val="002752"/>
                <w:sz w:val="17"/>
              </w:rPr>
              <w:t>Revisor de accesibilidad</w:t>
            </w:r>
          </w:p>
        </w:tc>
        <w:tc>
          <w:tcPr>
            <w:tcW w:type="dxa" w:w="4608"/>
            <w:shd w:fill="FFFFFF"/>
            <w:tcMar>
              <w:top w:w="50" w:type="dxa"/>
              <w:bottom w:w="50" w:type="dxa"/>
              <w:left w:w="80" w:type="dxa"/>
              <w:right w:w="80" w:type="dxa"/>
            </w:tcMar>
          </w:tcPr>
          <w:p>
            <w:r>
              <w:rPr>
                <w:rFonts w:ascii="Arial" w:hAnsi="Arial"/>
                <w:b w:val="0"/>
                <w:color w:val="333333"/>
                <w:sz w:val="17"/>
              </w:rPr>
              <w:t>Audita técnicamente versiones con checklist WCAG 2.1 AA / NTC 5854, aprueba para publicación o emite rechazos con subsanación.</w:t>
            </w:r>
          </w:p>
        </w:tc>
        <w:tc>
          <w:tcPr>
            <w:tcW w:type="dxa" w:w="2160"/>
            <w:shd w:fill="FFFFFF"/>
            <w:tcMar>
              <w:top w:w="50" w:type="dxa"/>
              <w:bottom w:w="50" w:type="dxa"/>
              <w:left w:w="80" w:type="dxa"/>
              <w:right w:w="80" w:type="dxa"/>
            </w:tcMar>
          </w:tcPr>
          <w:p>
            <w:r>
              <w:rPr>
                <w:rFonts w:ascii="Arial" w:hAnsi="Arial"/>
                <w:b w:val="0"/>
                <w:color w:val="333333"/>
                <w:sz w:val="17"/>
              </w:rPr>
              <w:t>/revisor/cola (Bandeja)</w:t>
            </w:r>
          </w:p>
        </w:tc>
      </w:tr>
      <w:tr>
        <w:tc>
          <w:tcPr>
            <w:tcW w:type="dxa" w:w="2592"/>
            <w:shd w:fill="F7FAFC"/>
            <w:tcMar>
              <w:top w:w="50" w:type="dxa"/>
              <w:bottom w:w="50" w:type="dxa"/>
              <w:left w:w="80" w:type="dxa"/>
              <w:right w:w="80" w:type="dxa"/>
            </w:tcMar>
          </w:tcPr>
          <w:p>
            <w:r>
              <w:rPr>
                <w:rFonts w:ascii="Arial" w:hAnsi="Arial"/>
                <w:b/>
                <w:color w:val="002752"/>
                <w:sz w:val="17"/>
              </w:rPr>
              <w:t>Coordinación de matrícula</w:t>
            </w:r>
          </w:p>
        </w:tc>
        <w:tc>
          <w:tcPr>
            <w:tcW w:type="dxa" w:w="4608"/>
            <w:shd w:fill="F7FAFC"/>
            <w:tcMar>
              <w:top w:w="50" w:type="dxa"/>
              <w:bottom w:w="50" w:type="dxa"/>
              <w:left w:w="80" w:type="dxa"/>
              <w:right w:w="80" w:type="dxa"/>
            </w:tcMar>
          </w:tcPr>
          <w:p>
            <w:r>
              <w:rPr>
                <w:rFonts w:ascii="Arial" w:hAnsi="Arial"/>
                <w:b w:val="0"/>
                <w:color w:val="333333"/>
                <w:sz w:val="17"/>
              </w:rPr>
              <w:t>Resuelve y responde reportes de barreras de accesibilidad y hace seguimiento a los indicadores de calidad y riesgo de abandono.</w:t>
            </w:r>
          </w:p>
        </w:tc>
        <w:tc>
          <w:tcPr>
            <w:tcW w:type="dxa" w:w="2160"/>
            <w:shd w:fill="F7FAFC"/>
            <w:tcMar>
              <w:top w:w="50" w:type="dxa"/>
              <w:bottom w:w="50" w:type="dxa"/>
              <w:left w:w="80" w:type="dxa"/>
              <w:right w:w="80" w:type="dxa"/>
            </w:tcMar>
          </w:tcPr>
          <w:p>
            <w:r>
              <w:rPr>
                <w:rFonts w:ascii="Arial" w:hAnsi="Arial"/>
                <w:b w:val="0"/>
                <w:color w:val="333333"/>
                <w:sz w:val="17"/>
              </w:rPr>
              <w:t>/reportes-barrera (Incidencias)</w:t>
            </w:r>
          </w:p>
        </w:tc>
      </w:tr>
      <w:tr>
        <w:tc>
          <w:tcPr>
            <w:tcW w:type="dxa" w:w="2592"/>
            <w:shd w:fill="FFFFFF"/>
            <w:tcMar>
              <w:top w:w="50" w:type="dxa"/>
              <w:bottom w:w="50" w:type="dxa"/>
              <w:left w:w="80" w:type="dxa"/>
              <w:right w:w="80" w:type="dxa"/>
            </w:tcMar>
          </w:tcPr>
          <w:p>
            <w:r>
              <w:rPr>
                <w:rFonts w:ascii="Arial" w:hAnsi="Arial"/>
                <w:b/>
                <w:color w:val="002752"/>
                <w:sz w:val="17"/>
              </w:rPr>
              <w:t>Entidad verificadora</w:t>
            </w:r>
          </w:p>
        </w:tc>
        <w:tc>
          <w:tcPr>
            <w:tcW w:type="dxa" w:w="4608"/>
            <w:shd w:fill="FFFFFF"/>
            <w:tcMar>
              <w:top w:w="50" w:type="dxa"/>
              <w:bottom w:w="50" w:type="dxa"/>
              <w:left w:w="80" w:type="dxa"/>
              <w:right w:w="80" w:type="dxa"/>
            </w:tcMar>
          </w:tcPr>
          <w:p>
            <w:r>
              <w:rPr>
                <w:rFonts w:ascii="Arial" w:hAnsi="Arial"/>
                <w:b w:val="0"/>
                <w:color w:val="333333"/>
                <w:sz w:val="17"/>
              </w:rPr>
              <w:t>Comprueba la autenticidad e integridad de certificados estudiantiles mediante código alfanumérico sin necesidad de tener cuenta.</w:t>
            </w:r>
          </w:p>
        </w:tc>
        <w:tc>
          <w:tcPr>
            <w:tcW w:type="dxa" w:w="2160"/>
            <w:shd w:fill="FFFFFF"/>
            <w:tcMar>
              <w:top w:w="50" w:type="dxa"/>
              <w:bottom w:w="50" w:type="dxa"/>
              <w:left w:w="80" w:type="dxa"/>
              <w:right w:w="80" w:type="dxa"/>
            </w:tcMar>
          </w:tcPr>
          <w:p>
            <w:r>
              <w:rPr>
                <w:rFonts w:ascii="Arial" w:hAnsi="Arial"/>
                <w:b w:val="0"/>
                <w:color w:val="333333"/>
                <w:sz w:val="17"/>
              </w:rPr>
              <w:t>/verificar</w:t>
            </w:r>
          </w:p>
        </w:tc>
      </w:tr>
    </w:tbl>
    <w:p>
      <w:r>
        <w:br w:type="page"/>
      </w:r>
    </w:p>
    <w:p>
      <w:pPr>
        <w:pStyle w:val="Heading1"/>
      </w:pPr>
      <w:r>
        <w:rPr>
          <w:rFonts w:ascii="Arial" w:hAnsi="Arial"/>
          <w:color w:val="002752"/>
        </w:rPr>
        <w:t>Índice de Contenido</w:t>
      </w:r>
    </w:p>
    <w:p>
      <w:pPr>
        <w:spacing w:before="160" w:after="40"/>
      </w:pPr>
      <w:r>
        <w:rPr>
          <w:b/>
          <w:color w:val="002752"/>
          <w:sz w:val="22"/>
        </w:rPr>
        <w:t>Parte I: Portal del Aprendiz (Proceso 1 — Inscripción y Matrícula)</w:t>
      </w:r>
    </w:p>
    <w:p>
      <w:pPr>
        <w:pStyle w:val="ListBullet"/>
        <w:spacing w:after="40"/>
      </w:pPr>
      <w:r>
        <w:rPr>
          <w:sz w:val="20"/>
        </w:rPr>
        <w:t>1). Acceso al Portal y Página de Inicio de Sesión</w:t>
      </w:r>
    </w:p>
    <w:p>
      <w:pPr>
        <w:pStyle w:val="ListBullet"/>
        <w:spacing w:after="40"/>
      </w:pPr>
      <w:r>
        <w:rPr>
          <w:sz w:val="20"/>
        </w:rPr>
        <w:t>2). Registro de Nueva Cuenta y Consentimiento de Datos Sensibles (Ley 1581)</w:t>
      </w:r>
    </w:p>
    <w:p>
      <w:pPr>
        <w:pStyle w:val="ListBullet"/>
        <w:spacing w:after="40"/>
      </w:pPr>
      <w:r>
        <w:rPr>
          <w:sz w:val="20"/>
        </w:rPr>
        <w:t>3). Configuración y Prueba del Perfil de Accesibilidad</w:t>
      </w:r>
    </w:p>
    <w:p>
      <w:pPr>
        <w:pStyle w:val="ListBullet"/>
        <w:spacing w:after="40"/>
      </w:pPr>
      <w:r>
        <w:rPr>
          <w:sz w:val="20"/>
        </w:rPr>
        <w:t>4). Exploración del Catálogo de Cursos y Verificación de Cupos</w:t>
      </w:r>
    </w:p>
    <w:p>
      <w:pPr>
        <w:pStyle w:val="ListBullet"/>
        <w:spacing w:after="40"/>
      </w:pPr>
      <w:r>
        <w:rPr>
          <w:sz w:val="20"/>
        </w:rPr>
        <w:t>5). Aula Virtual y Reproducción Accesible de Lecciones (Audio y Voz en Alta)</w:t>
      </w:r>
    </w:p>
    <w:p>
      <w:pPr>
        <w:spacing w:before="160" w:after="40"/>
      </w:pPr>
      <w:r>
        <w:rPr>
          <w:b/>
          <w:color w:val="002752"/>
          <w:sz w:val="22"/>
        </w:rPr>
        <w:t>Parte II: Portal del Gestor de Contenidos (Proceso 2 — Producción Editorial)</w:t>
      </w:r>
    </w:p>
    <w:p>
      <w:pPr>
        <w:pStyle w:val="ListBullet"/>
        <w:spacing w:after="40"/>
      </w:pPr>
      <w:r>
        <w:rPr>
          <w:sz w:val="20"/>
        </w:rPr>
        <w:t>1). Acceso y Panel Principal de Cursos Registrados</w:t>
      </w:r>
    </w:p>
    <w:p>
      <w:pPr>
        <w:pStyle w:val="ListBullet"/>
        <w:spacing w:after="40"/>
      </w:pPr>
      <w:r>
        <w:rPr>
          <w:sz w:val="20"/>
        </w:rPr>
        <w:t>2). Creación de Cursos y Asignación de Cupos Máximos</w:t>
      </w:r>
    </w:p>
    <w:p>
      <w:pPr>
        <w:pStyle w:val="ListBullet"/>
        <w:spacing w:after="40"/>
      </w:pPr>
      <w:r>
        <w:rPr>
          <w:sz w:val="20"/>
        </w:rPr>
        <w:t>3). Estructura y Administración de Lecciones</w:t>
      </w:r>
    </w:p>
    <w:p>
      <w:pPr>
        <w:pStyle w:val="ListBullet"/>
        <w:spacing w:after="40"/>
      </w:pPr>
      <w:r>
        <w:rPr>
          <w:sz w:val="20"/>
        </w:rPr>
        <w:t>4). Ciclo Editorial Inmutable: Historial de Versiones (ADR-08)</w:t>
      </w:r>
    </w:p>
    <w:p>
      <w:pPr>
        <w:pStyle w:val="ListBullet"/>
        <w:spacing w:after="40"/>
      </w:pPr>
      <w:r>
        <w:rPr>
          <w:sz w:val="20"/>
        </w:rPr>
        <w:t>5). Edición de Borradores: Transcripción, Audio e Imágenes con Texto Alternativo</w:t>
      </w:r>
    </w:p>
    <w:p>
      <w:pPr>
        <w:pStyle w:val="ListBullet"/>
        <w:spacing w:after="40"/>
      </w:pPr>
      <w:r>
        <w:rPr>
          <w:sz w:val="20"/>
        </w:rPr>
        <w:t>6). Declaración de Derechos de Autor (Ley 23 de 1982) y Envío a Revisión</w:t>
      </w:r>
    </w:p>
    <w:p>
      <w:pPr>
        <w:spacing w:before="160" w:after="40"/>
      </w:pPr>
      <w:r>
        <w:rPr>
          <w:b/>
          <w:color w:val="002752"/>
          <w:sz w:val="22"/>
        </w:rPr>
        <w:t>Parte III: Portal del Revisor de Accesibilidad (Proceso 2 — Auditoría Técnica)</w:t>
      </w:r>
    </w:p>
    <w:p>
      <w:pPr>
        <w:pStyle w:val="ListBullet"/>
        <w:spacing w:after="40"/>
      </w:pPr>
      <w:r>
        <w:rPr>
          <w:sz w:val="20"/>
        </w:rPr>
        <w:t>1). Bandeja de Cola de Revisión Técnica</w:t>
      </w:r>
    </w:p>
    <w:p>
      <w:pPr>
        <w:pStyle w:val="ListBullet"/>
        <w:spacing w:after="40"/>
      </w:pPr>
      <w:r>
        <w:rPr>
          <w:sz w:val="20"/>
        </w:rPr>
        <w:t>2). Auditoría con Checklist Oficial WCAG 2.1 AA y NTC 5854</w:t>
      </w:r>
    </w:p>
    <w:p>
      <w:pPr>
        <w:pStyle w:val="ListBullet"/>
        <w:spacing w:after="40"/>
      </w:pPr>
      <w:r>
        <w:rPr>
          <w:sz w:val="20"/>
        </w:rPr>
        <w:t>3). Emisión y Consulta de Informes de Revisión Técnica Imprimibles</w:t>
      </w:r>
    </w:p>
    <w:p>
      <w:pPr>
        <w:spacing w:before="160" w:after="40"/>
      </w:pPr>
      <w:r>
        <w:rPr>
          <w:b/>
          <w:color w:val="002752"/>
          <w:sz w:val="22"/>
        </w:rPr>
        <w:t>Parte IV: Soporte, Reporte de Barreras y Glosario Técnico (Calidad)</w:t>
      </w:r>
    </w:p>
    <w:p>
      <w:pPr>
        <w:pStyle w:val="ListBullet"/>
        <w:spacing w:after="40"/>
      </w:pPr>
      <w:r>
        <w:rPr>
          <w:sz w:val="20"/>
        </w:rPr>
        <w:t>1). Canal Público de Reporte de Barreras de Accesibilidad</w:t>
      </w:r>
    </w:p>
    <w:p>
      <w:pPr>
        <w:pStyle w:val="ListBullet"/>
        <w:spacing w:after="40"/>
      </w:pPr>
      <w:r>
        <w:rPr>
          <w:sz w:val="20"/>
        </w:rPr>
        <w:t>2). Glosario Técnico y de Accesibilidad Web</w:t>
      </w:r>
    </w:p>
    <w:p>
      <w:r>
        <w:br w:type="page"/>
      </w:r>
    </w:p>
    <w:p>
      <w:pPr>
        <w:pStyle w:val="Heading1"/>
      </w:pPr>
      <w:r>
        <w:rPr>
          <w:rFonts w:ascii="Arial" w:hAnsi="Arial"/>
          <w:color w:val="002752"/>
        </w:rPr>
        <w:t>Parte I / Portal del Aprendiz: Registro, Accesibilidad y Matrícula</w:t>
      </w:r>
    </w:p>
    <w:p>
      <w:pPr>
        <w:pStyle w:val="Heading2"/>
      </w:pPr>
      <w:r>
        <w:rPr>
          <w:rFonts w:ascii="Arial" w:hAnsi="Arial"/>
          <w:color w:val="002752"/>
          <w:sz w:val="26"/>
        </w:rPr>
        <w:t>Parte I — 1. Acceso al Portal e Inicio de Sesión</w:t>
      </w:r>
    </w:p>
    <w:p>
      <w:pPr>
        <w:spacing w:line="276" w:lineRule="auto" w:after="80"/>
      </w:pPr>
      <w:r>
        <w:rPr>
          <w:b/>
        </w:rPr>
        <w:t xml:space="preserve">Acción del Usuario: </w:t>
      </w:r>
      <w:r>
        <w:t>El aprendiz ingresa a la URL de la plataforma (https://3-237-185-159.sslip.io/login). Si ya posee cuenta, digita su correo y contraseña y pulsa 'Entrar a mi cuenta'. Si requiere registrarse por primera vez, pulsa el botón 'Crear una cuenta nueva'. En caso de experimentar barreras de acceso, dispone de un enlace público directo para reportarlas sin necesidad de autenticarse.</w:t>
        <w:br/>
      </w:r>
      <w:r>
        <w:rPr>
          <w:b/>
        </w:rPr>
        <w:t xml:space="preserve">Respuesta del Sistema: </w:t>
      </w:r>
      <w:r>
        <w:t>El sistema valida las credenciales contra la base de datos MySQL (utilizando BCrypt con factor de costo 10). Al autenticar, recupera el perfil de accesibilidad persistente y redirige automáticamente al Catálogo de Cursos.</w:t>
      </w:r>
    </w:p>
    <w:p>
      <w:pPr>
        <w:spacing w:after="80"/>
      </w:pPr>
      <w:r>
        <w:rPr>
          <w:b/>
          <w:color w:val="155724"/>
        </w:rPr>
        <w:t xml:space="preserve">♿ Criterio de Accesibilidad / Norma: </w:t>
      </w:r>
      <w:r>
        <w:rPr>
          <w:sz w:val="19"/>
        </w:rPr>
        <w:t>WCAG 2.4.1 (Salto al contenido principal mediante Tab), etiquetas &lt;label&gt; explícitas en cada campo y región role='alert' para anunciar errores de acceso.</w:t>
      </w:r>
    </w:p>
    <w:p>
      <w:pPr>
        <w:spacing w:before="80" w:after="160"/>
        <w:jc w:val="center"/>
      </w:pPr>
      <w:r>
        <w:drawing>
          <wp:inline xmlns:a="http://schemas.openxmlformats.org/drawingml/2006/main" xmlns:pic="http://schemas.openxmlformats.org/drawingml/2006/picture">
            <wp:extent cx="5303520" cy="4143375"/>
            <wp:docPr id="1" name="Picture 1"/>
            <wp:cNvGraphicFramePr>
              <a:graphicFrameLocks noChangeAspect="1"/>
            </wp:cNvGraphicFramePr>
            <a:graphic>
              <a:graphicData uri="http://schemas.openxmlformats.org/drawingml/2006/picture">
                <pic:pic>
                  <pic:nvPicPr>
                    <pic:cNvPr id="0" name="01_login_portal.png"/>
                    <pic:cNvPicPr/>
                  </pic:nvPicPr>
                  <pic:blipFill>
                    <a:blip r:embed="rId9"/>
                    <a:stretch>
                      <a:fillRect/>
                    </a:stretch>
                  </pic:blipFill>
                  <pic:spPr>
                    <a:xfrm>
                      <a:off x="0" y="0"/>
                      <a:ext cx="5303520" cy="4143375"/>
                    </a:xfrm>
                    <a:prstGeom prst="rect"/>
                  </pic:spPr>
                </pic:pic>
              </a:graphicData>
            </a:graphic>
          </wp:inline>
        </w:drawing>
      </w:r>
    </w:p>
    <w:p>
      <w:r>
        <w:br w:type="page"/>
      </w:r>
    </w:p>
    <w:p>
      <w:pPr>
        <w:pStyle w:val="Heading2"/>
      </w:pPr>
      <w:r>
        <w:rPr>
          <w:rFonts w:ascii="Arial" w:hAnsi="Arial"/>
          <w:color w:val="002752"/>
          <w:sz w:val="26"/>
        </w:rPr>
        <w:t>Parte I — 2. Registro de Cuenta y Consentimiento de Datos Sensibles</w:t>
      </w:r>
    </w:p>
    <w:p>
      <w:pPr>
        <w:spacing w:line="276" w:lineRule="auto" w:after="80"/>
      </w:pPr>
      <w:r>
        <w:rPr>
          <w:b/>
        </w:rPr>
        <w:t xml:space="preserve">Acción del Usuario: </w:t>
      </w:r>
      <w:r>
        <w:t>El aspirante completa sus datos personales (nombre, correo institucional, teléfono, contraseña segura) y declara de manera opcional su condición visual (ceguera total o baja visión). Debe marcar obligatoriamente la casilla de consentimiento expreso para el tratamiento de sus datos sensibles antes de enviar el formulario.</w:t>
        <w:br/>
      </w:r>
      <w:r>
        <w:rPr>
          <w:b/>
        </w:rPr>
        <w:t xml:space="preserve">Respuesta del Sistema: </w:t>
      </w:r>
      <w:r>
        <w:t>El backend cifra el dato sensible de la condición visual en reposo mediante AES-256 en modo GCM con vector de inicialización único (ADR-09), garantizando estricta conformidad con la Ley Estatutaria 1581 de 2012 y el Decreto 1377 de 2013.</w:t>
      </w:r>
    </w:p>
    <w:p>
      <w:pPr>
        <w:spacing w:after="80"/>
      </w:pPr>
      <w:r>
        <w:rPr>
          <w:b/>
          <w:color w:val="155724"/>
        </w:rPr>
        <w:t xml:space="preserve">♿ Criterio de Accesibilidad / Norma: </w:t>
      </w:r>
      <w:r>
        <w:rPr>
          <w:sz w:val="19"/>
        </w:rPr>
        <w:t>Ley 1581 de 2012 (Protección de datos sensibles). Validación en tiempo real sin recarga disruptiva y foco visible permanente (#002752).</w:t>
      </w:r>
    </w:p>
    <w:p>
      <w:pPr>
        <w:spacing w:before="80" w:after="160"/>
        <w:jc w:val="center"/>
      </w:pPr>
      <w:r>
        <w:drawing>
          <wp:inline xmlns:a="http://schemas.openxmlformats.org/drawingml/2006/main" xmlns:pic="http://schemas.openxmlformats.org/drawingml/2006/picture">
            <wp:extent cx="2654487" cy="4937760"/>
            <wp:docPr id="2" name="Picture 2"/>
            <wp:cNvGraphicFramePr>
              <a:graphicFrameLocks noChangeAspect="1"/>
            </wp:cNvGraphicFramePr>
            <a:graphic>
              <a:graphicData uri="http://schemas.openxmlformats.org/drawingml/2006/picture">
                <pic:pic>
                  <pic:nvPicPr>
                    <pic:cNvPr id="0" name="02_registro_formulario.png"/>
                    <pic:cNvPicPr/>
                  </pic:nvPicPr>
                  <pic:blipFill>
                    <a:blip r:embed="rId10"/>
                    <a:stretch>
                      <a:fillRect/>
                    </a:stretch>
                  </pic:blipFill>
                  <pic:spPr>
                    <a:xfrm>
                      <a:off x="0" y="0"/>
                      <a:ext cx="2654487" cy="4937760"/>
                    </a:xfrm>
                    <a:prstGeom prst="rect"/>
                  </pic:spPr>
                </pic:pic>
              </a:graphicData>
            </a:graphic>
          </wp:inline>
        </w:drawing>
      </w:r>
    </w:p>
    <w:p>
      <w:r>
        <w:br w:type="page"/>
      </w:r>
    </w:p>
    <w:p>
      <w:pPr>
        <w:pStyle w:val="Heading2"/>
      </w:pPr>
      <w:r>
        <w:rPr>
          <w:rFonts w:ascii="Arial" w:hAnsi="Arial"/>
          <w:color w:val="002752"/>
          <w:sz w:val="26"/>
        </w:rPr>
        <w:t>Parte I — 3. Configuración y Prueba del Perfil de Accesibilidad</w:t>
      </w:r>
    </w:p>
    <w:p>
      <w:pPr>
        <w:spacing w:line="276" w:lineRule="auto" w:after="80"/>
      </w:pPr>
      <w:r>
        <w:rPr>
          <w:b/>
        </w:rPr>
        <w:t xml:space="preserve">Acción del Usuario: </w:t>
      </w:r>
      <w:r>
        <w:t>Desde la barra superior, el usuario accede a 'Mi Perfil' (/perfil). Aquí puede seleccionar su modo visual preferido (Normal o Alto Contraste para baja visión), tamaño de texto (Estándar o Grande), velocidad de reproducción (1.0x a 2.0x) y seleccionar una voz en español del sintetizador. Al pulsar 'Probar voz y velocidad', el sistema emite una frase de prueba en los altavoces.</w:t>
        <w:br/>
      </w:r>
      <w:r>
        <w:rPr>
          <w:b/>
        </w:rPr>
        <w:t xml:space="preserve">Respuesta del Sistema: </w:t>
      </w:r>
      <w:r>
        <w:t>Las preferencias se persisten en base de datos asociadas a la cuenta del usuario (ADR-07) y se almacenan en la sesión HTTP para aplicarse de forma inmediata en todas las pantallas sin reconfiguración manual.</w:t>
      </w:r>
    </w:p>
    <w:p>
      <w:pPr>
        <w:spacing w:after="80"/>
      </w:pPr>
      <w:r>
        <w:rPr>
          <w:b/>
          <w:color w:val="155724"/>
        </w:rPr>
        <w:t xml:space="preserve">♿ Criterio de Accesibilidad / Norma: </w:t>
      </w:r>
      <w:r>
        <w:rPr>
          <w:sz w:val="19"/>
        </w:rPr>
        <w:t>ADR-07 (Perfil de accesibilidad persistente) y Web Speech API con síntesis de voz en el cliente respetando atajos del sistema operativo.</w:t>
      </w:r>
    </w:p>
    <w:p>
      <w:pPr>
        <w:spacing w:before="80" w:after="160"/>
        <w:jc w:val="center"/>
      </w:pPr>
      <w:r>
        <w:drawing>
          <wp:inline xmlns:a="http://schemas.openxmlformats.org/drawingml/2006/main" xmlns:pic="http://schemas.openxmlformats.org/drawingml/2006/picture">
            <wp:extent cx="3655315" cy="4572000"/>
            <wp:docPr id="3" name="Picture 3"/>
            <wp:cNvGraphicFramePr>
              <a:graphicFrameLocks noChangeAspect="1"/>
            </wp:cNvGraphicFramePr>
            <a:graphic>
              <a:graphicData uri="http://schemas.openxmlformats.org/drawingml/2006/picture">
                <pic:pic>
                  <pic:nvPicPr>
                    <pic:cNvPr id="0" name="03_perfil_accesibilidad.png"/>
                    <pic:cNvPicPr/>
                  </pic:nvPicPr>
                  <pic:blipFill>
                    <a:blip r:embed="rId11"/>
                    <a:stretch>
                      <a:fillRect/>
                    </a:stretch>
                  </pic:blipFill>
                  <pic:spPr>
                    <a:xfrm>
                      <a:off x="0" y="0"/>
                      <a:ext cx="3655315" cy="4572000"/>
                    </a:xfrm>
                    <a:prstGeom prst="rect"/>
                  </pic:spPr>
                </pic:pic>
              </a:graphicData>
            </a:graphic>
          </wp:inline>
        </w:drawing>
      </w:r>
    </w:p>
    <w:p>
      <w:r>
        <w:br w:type="page"/>
      </w:r>
    </w:p>
    <w:p>
      <w:pPr>
        <w:pStyle w:val="Heading2"/>
      </w:pPr>
      <w:r>
        <w:rPr>
          <w:rFonts w:ascii="Arial" w:hAnsi="Arial"/>
          <w:color w:val="002752"/>
          <w:sz w:val="26"/>
        </w:rPr>
        <w:t>Parte I — 4. Exploración del Catálogo de Cursos y Verificación de Cupos</w:t>
      </w:r>
    </w:p>
    <w:p>
      <w:pPr>
        <w:spacing w:line="276" w:lineRule="auto" w:after="80"/>
      </w:pPr>
      <w:r>
        <w:rPr>
          <w:b/>
        </w:rPr>
        <w:t xml:space="preserve">Acción del Usuario: </w:t>
      </w:r>
      <w:r>
        <w:t>El aprendiz navega el catálogo (/cursos). Cada tarjeta de curso presenta el título, descripción, intensidad horaria (8 a 40 horas), estado de evaluación y el número de cupos disponibles en tiempo real (ej. 'Cupos disponibles: 15 de 20'). Si el aprendiz no está matriculado, pulsa el botón 'Matricularme'.</w:t>
        <w:br/>
      </w:r>
      <w:r>
        <w:rPr>
          <w:b/>
        </w:rPr>
        <w:t xml:space="preserve">Respuesta del Sistema: </w:t>
      </w:r>
      <w:r>
        <w:t>El servicio de matrícula aplica bloqueo pesimista en base de datos (PESSIMISTIC_WRITE) para evitar sobrecupos concurrentes en el momento de la confirmación. Si el curso llega a 0 cupos, el botón se inhabilita con un aviso comprensible.</w:t>
      </w:r>
    </w:p>
    <w:p>
      <w:pPr>
        <w:spacing w:after="80"/>
      </w:pPr>
      <w:r>
        <w:rPr>
          <w:b/>
          <w:color w:val="155724"/>
        </w:rPr>
        <w:t xml:space="preserve">♿ Criterio de Accesibilidad / Norma: </w:t>
      </w:r>
      <w:r>
        <w:rPr>
          <w:sz w:val="19"/>
        </w:rPr>
        <w:t>WCAG 1.3.1 (Información y relaciones con tarjetas semánticas) y control de concurrencia pesimista en base de datos.</w:t>
      </w:r>
    </w:p>
    <w:p>
      <w:pPr>
        <w:spacing w:before="80" w:after="160"/>
        <w:jc w:val="center"/>
      </w:pPr>
      <w:r>
        <w:drawing>
          <wp:inline xmlns:a="http://schemas.openxmlformats.org/drawingml/2006/main" xmlns:pic="http://schemas.openxmlformats.org/drawingml/2006/picture">
            <wp:extent cx="3346003" cy="4572000"/>
            <wp:docPr id="4" name="Picture 4"/>
            <wp:cNvGraphicFramePr>
              <a:graphicFrameLocks noChangeAspect="1"/>
            </wp:cNvGraphicFramePr>
            <a:graphic>
              <a:graphicData uri="http://schemas.openxmlformats.org/drawingml/2006/picture">
                <pic:pic>
                  <pic:nvPicPr>
                    <pic:cNvPr id="0" name="04_catalogo_cursos.png"/>
                    <pic:cNvPicPr/>
                  </pic:nvPicPr>
                  <pic:blipFill>
                    <a:blip r:embed="rId12"/>
                    <a:stretch>
                      <a:fillRect/>
                    </a:stretch>
                  </pic:blipFill>
                  <pic:spPr>
                    <a:xfrm>
                      <a:off x="0" y="0"/>
                      <a:ext cx="3346003" cy="4572000"/>
                    </a:xfrm>
                    <a:prstGeom prst="rect"/>
                  </pic:spPr>
                </pic:pic>
              </a:graphicData>
            </a:graphic>
          </wp:inline>
        </w:drawing>
      </w:r>
    </w:p>
    <w:p>
      <w:r>
        <w:br w:type="page"/>
      </w:r>
    </w:p>
    <w:p>
      <w:pPr>
        <w:pStyle w:val="Heading2"/>
      </w:pPr>
      <w:r>
        <w:rPr>
          <w:rFonts w:ascii="Arial" w:hAnsi="Arial"/>
          <w:color w:val="002752"/>
          <w:sz w:val="26"/>
        </w:rPr>
        <w:t>Parte I — 5. Aula Virtual y Reproducción Accesible de Lecciones</w:t>
      </w:r>
    </w:p>
    <w:p>
      <w:pPr>
        <w:spacing w:line="276" w:lineRule="auto" w:after="80"/>
      </w:pPr>
      <w:r>
        <w:rPr>
          <w:b/>
        </w:rPr>
        <w:t xml:space="preserve">Acción del Usuario: </w:t>
      </w:r>
      <w:r>
        <w:t>Al ingresar a una lección (/cursos/{id}/lecciones/{orden}), el aprendiz encuentra el reproductor de audio nativo con controles estándar, la transcripción completa del contenido estructurada por párrafos, imágenes con su respectivo texto alternativo y el botón 'Leer en voz alta la transcripción' que lee el contenido a la velocidad elegida.</w:t>
        <w:br/>
      </w:r>
      <w:r>
        <w:rPr>
          <w:b/>
        </w:rPr>
        <w:t xml:space="preserve">Respuesta del Sistema: </w:t>
      </w:r>
      <w:r>
        <w:t>El servidor entrega los recursos de audio e imagen mediante cabeceras HTTP Range (código 206 Partial Content), permitiendo adelantar, retroceder y pausar el contenido multimedia fluidamente. Al pulsar 'Completar y continuar', se registra el avance del 100% de la lección.</w:t>
      </w:r>
    </w:p>
    <w:p>
      <w:pPr>
        <w:spacing w:after="80"/>
      </w:pPr>
      <w:r>
        <w:rPr>
          <w:b/>
          <w:color w:val="155724"/>
        </w:rPr>
        <w:t xml:space="preserve">♿ Criterio de Accesibilidad / Norma: </w:t>
      </w:r>
      <w:r>
        <w:rPr>
          <w:sz w:val="19"/>
        </w:rPr>
        <w:t>ADR-05 (Reproductor &lt;audio&gt; nativo accesible por teclado con Espacio y Flechas) y WCAG 1.2.1 / 1.2.2 (Transcripción completa de audio).</w:t>
      </w:r>
    </w:p>
    <w:p>
      <w:pPr>
        <w:spacing w:before="80" w:after="160"/>
        <w:jc w:val="center"/>
      </w:pPr>
      <w:r>
        <w:drawing>
          <wp:inline xmlns:a="http://schemas.openxmlformats.org/drawingml/2006/main" xmlns:pic="http://schemas.openxmlformats.org/drawingml/2006/picture">
            <wp:extent cx="3495914" cy="4572000"/>
            <wp:docPr id="5" name="Picture 5"/>
            <wp:cNvGraphicFramePr>
              <a:graphicFrameLocks noChangeAspect="1"/>
            </wp:cNvGraphicFramePr>
            <a:graphic>
              <a:graphicData uri="http://schemas.openxmlformats.org/drawingml/2006/picture">
                <pic:pic>
                  <pic:nvPicPr>
                    <pic:cNvPr id="0" name="05_aula_leccion.png"/>
                    <pic:cNvPicPr/>
                  </pic:nvPicPr>
                  <pic:blipFill>
                    <a:blip r:embed="rId13"/>
                    <a:stretch>
                      <a:fillRect/>
                    </a:stretch>
                  </pic:blipFill>
                  <pic:spPr>
                    <a:xfrm>
                      <a:off x="0" y="0"/>
                      <a:ext cx="3495914" cy="4572000"/>
                    </a:xfrm>
                    <a:prstGeom prst="rect"/>
                  </pic:spPr>
                </pic:pic>
              </a:graphicData>
            </a:graphic>
          </wp:inline>
        </w:drawing>
      </w:r>
    </w:p>
    <w:p>
      <w:r>
        <w:br w:type="page"/>
      </w:r>
    </w:p>
    <w:p>
      <w:pPr>
        <w:pStyle w:val="Heading1"/>
      </w:pPr>
      <w:r>
        <w:rPr>
          <w:rFonts w:ascii="Arial" w:hAnsi="Arial"/>
          <w:color w:val="002752"/>
        </w:rPr>
        <w:t>Parte II / Portal del Gestor: Gestión Editorial y Publicación de Contenido</w:t>
      </w:r>
    </w:p>
    <w:tbl>
      <w:tblPr>
        <w:tblW w:type="auto" w:w="0"/>
        <w:jc w:val="center"/>
        <w:tblLook w:firstColumn="1" w:firstRow="1" w:lastColumn="0" w:lastRow="0" w:noHBand="0" w:noVBand="1" w:val="04A0"/>
      </w:tblPr>
      <w:tblGrid>
        <w:gridCol w:w="9360"/>
      </w:tblGrid>
      <w:tr>
        <w:tc>
          <w:tcPr>
            <w:tcW w:type="dxa" w:w="9360"/>
            <w:shd w:fill="E8F4FD"/>
            <w:tcMar>
              <w:top w:w="80" w:type="dxa"/>
              <w:bottom w:w="80" w:type="dxa"/>
              <w:left w:w="120" w:type="dxa"/>
              <w:right w:w="120" w:type="dxa"/>
            </w:tcMar>
          </w:tcPr>
          <w:p>
            <w:r>
              <w:rPr>
                <w:b/>
                <w:color w:val="002752"/>
                <w:sz w:val="19"/>
              </w:rPr>
              <w:t>Principio del Ciclo de Vida Editorial Inmutable (ADR-08):</w:t>
              <w:br/>
            </w:r>
            <w:r>
              <w:rPr>
                <w:sz w:val="18"/>
              </w:rPr>
              <w:t>Cada lección atraviesa un ciclo riguroso de estados: Borrador (producción de material) → En Revisión (auditoría técnica) → Publicada (versión vigente con 100% de criterios WCAG cumplidos). Si es Rechazada, se documentan las no conformidades en un informe formal y el gestor ejecuta la Subsanación creando un nuevo borrador. Regla de negocio: Cada lección tiene una sola versión vigente y una sola en trámite a la vez. Lo publicado nunca se sobrescribe.</w:t>
            </w:r>
          </w:p>
        </w:tc>
      </w:tr>
    </w:tbl>
    <w:p>
      <w:pPr>
        <w:spacing w:before="80" w:after="80"/>
      </w:pPr>
    </w:p>
    <w:p>
      <w:pPr>
        <w:pStyle w:val="Heading2"/>
      </w:pPr>
      <w:r>
        <w:rPr>
          <w:rFonts w:ascii="Arial" w:hAnsi="Arial"/>
          <w:color w:val="002752"/>
          <w:sz w:val="26"/>
        </w:rPr>
        <w:t>Parte II — 1. Acceso al Portal y Panel de Cursos Registrados</w:t>
      </w:r>
    </w:p>
    <w:p>
      <w:pPr>
        <w:spacing w:line="276" w:lineRule="auto" w:after="80"/>
      </w:pPr>
      <w:r>
        <w:rPr>
          <w:b/>
        </w:rPr>
        <w:t xml:space="preserve">Acción del Usuario: </w:t>
      </w:r>
      <w:r>
        <w:t>El gestor inicia sesión con sus credenciales institucionales. El sistema lo enruta directamente a /gestor/cursos. En esta vista observa la tabla de todos los cursos registrados, indicando si se encuentran 'EN EL CATÁLOGO' o 'FUERA DEL CATÁLOGO', número de horas, cupo asignado, aprendices matriculados y acciones disponibles.</w:t>
        <w:br/>
      </w:r>
      <w:r>
        <w:rPr>
          <w:b/>
        </w:rPr>
        <w:t xml:space="preserve">Respuesta del Sistema: </w:t>
      </w:r>
      <w:r>
        <w:t>El sistema restringe las modificaciones estructurales (renombrar o eliminar lecciones) si el curso ya cuenta con estudiantes matriculados o si está publicado en el catálogo, protegiendo la ruta académica de los aprendices.</w:t>
      </w:r>
    </w:p>
    <w:p>
      <w:pPr>
        <w:spacing w:after="80"/>
      </w:pPr>
      <w:r>
        <w:rPr>
          <w:b/>
          <w:color w:val="155724"/>
        </w:rPr>
        <w:t xml:space="preserve">♿ Criterio de Accesibilidad / Norma: </w:t>
      </w:r>
      <w:r>
        <w:rPr>
          <w:sz w:val="19"/>
        </w:rPr>
        <w:t>Control de acceso basado en roles (Spring Security hasRole('GESTOR_CONTENIDO')) y trazabilidad de cursos.</w:t>
      </w:r>
    </w:p>
    <w:p>
      <w:pPr>
        <w:spacing w:before="80" w:after="160"/>
        <w:jc w:val="center"/>
      </w:pPr>
      <w:r>
        <w:drawing>
          <wp:inline xmlns:a="http://schemas.openxmlformats.org/drawingml/2006/main" xmlns:pic="http://schemas.openxmlformats.org/drawingml/2006/picture">
            <wp:extent cx="3019690" cy="4572000"/>
            <wp:docPr id="6" name="Picture 6"/>
            <wp:cNvGraphicFramePr>
              <a:graphicFrameLocks noChangeAspect="1"/>
            </wp:cNvGraphicFramePr>
            <a:graphic>
              <a:graphicData uri="http://schemas.openxmlformats.org/drawingml/2006/picture">
                <pic:pic>
                  <pic:nvPicPr>
                    <pic:cNvPr id="0" name="06_gestor_cursos.png"/>
                    <pic:cNvPicPr/>
                  </pic:nvPicPr>
                  <pic:blipFill>
                    <a:blip r:embed="rId14"/>
                    <a:stretch>
                      <a:fillRect/>
                    </a:stretch>
                  </pic:blipFill>
                  <pic:spPr>
                    <a:xfrm>
                      <a:off x="0" y="0"/>
                      <a:ext cx="3019690" cy="4572000"/>
                    </a:xfrm>
                    <a:prstGeom prst="rect"/>
                  </pic:spPr>
                </pic:pic>
              </a:graphicData>
            </a:graphic>
          </wp:inline>
        </w:drawing>
      </w:r>
    </w:p>
    <w:p>
      <w:r>
        <w:br w:type="page"/>
      </w:r>
    </w:p>
    <w:p>
      <w:pPr>
        <w:pStyle w:val="Heading2"/>
      </w:pPr>
      <w:r>
        <w:rPr>
          <w:rFonts w:ascii="Arial" w:hAnsi="Arial"/>
          <w:color w:val="002752"/>
          <w:sz w:val="26"/>
        </w:rPr>
        <w:t>Parte II — 2. Creación de Cursos y Asignación de Cupos</w:t>
      </w:r>
    </w:p>
    <w:p>
      <w:pPr>
        <w:spacing w:line="276" w:lineRule="auto" w:after="80"/>
      </w:pPr>
      <w:r>
        <w:rPr>
          <w:b/>
        </w:rPr>
        <w:t xml:space="preserve">Acción del Usuario: </w:t>
      </w:r>
      <w:r>
        <w:t>Al pulsar el botón '+ Crear Nuevo Curso', el gestor completa el formulario con: Título del curso, Descripción detallada, Duración estimada (validada entre 8 y 40 horas según el caso de estudio institucional), Área de conocimiento y Cupo máximo de aprendices (opcional).</w:t>
        <w:br/>
      </w:r>
      <w:r>
        <w:rPr>
          <w:b/>
        </w:rPr>
        <w:t xml:space="preserve">Respuesta del Sistema: </w:t>
      </w:r>
      <w:r>
        <w:t>El curso se crea inicialmente en estado 'FUERA DEL CATÁLOGO'. No se hará visible a los aprendices hasta que todas sus lecciones cuenten con versión publicada por el revisor técnico y tenga su evaluación final configurada.</w:t>
      </w:r>
    </w:p>
    <w:p>
      <w:pPr>
        <w:spacing w:after="80"/>
      </w:pPr>
      <w:r>
        <w:rPr>
          <w:b/>
          <w:color w:val="155724"/>
        </w:rPr>
        <w:t xml:space="preserve">♿ Criterio de Accesibilidad / Norma: </w:t>
      </w:r>
      <w:r>
        <w:rPr>
          <w:sz w:val="19"/>
        </w:rPr>
        <w:t>Validación estricta de negocio: duración mínima de 8 horas y máxima de 40 horas (requisito del caso de estudio).</w:t>
      </w:r>
    </w:p>
    <w:p>
      <w:pPr>
        <w:spacing w:before="80" w:after="160"/>
        <w:jc w:val="center"/>
      </w:pPr>
      <w:r>
        <w:drawing>
          <wp:inline xmlns:a="http://schemas.openxmlformats.org/drawingml/2006/main" xmlns:pic="http://schemas.openxmlformats.org/drawingml/2006/picture">
            <wp:extent cx="3795175" cy="4572000"/>
            <wp:docPr id="7" name="Picture 7"/>
            <wp:cNvGraphicFramePr>
              <a:graphicFrameLocks noChangeAspect="1"/>
            </wp:cNvGraphicFramePr>
            <a:graphic>
              <a:graphicData uri="http://schemas.openxmlformats.org/drawingml/2006/picture">
                <pic:pic>
                  <pic:nvPicPr>
                    <pic:cNvPr id="0" name="07_gestor_crear_curso.png"/>
                    <pic:cNvPicPr/>
                  </pic:nvPicPr>
                  <pic:blipFill>
                    <a:blip r:embed="rId15"/>
                    <a:stretch>
                      <a:fillRect/>
                    </a:stretch>
                  </pic:blipFill>
                  <pic:spPr>
                    <a:xfrm>
                      <a:off x="0" y="0"/>
                      <a:ext cx="3795175" cy="4572000"/>
                    </a:xfrm>
                    <a:prstGeom prst="rect"/>
                  </pic:spPr>
                </pic:pic>
              </a:graphicData>
            </a:graphic>
          </wp:inline>
        </w:drawing>
      </w:r>
    </w:p>
    <w:p>
      <w:r>
        <w:br w:type="page"/>
      </w:r>
    </w:p>
    <w:p>
      <w:pPr>
        <w:pStyle w:val="Heading2"/>
      </w:pPr>
      <w:r>
        <w:rPr>
          <w:rFonts w:ascii="Arial" w:hAnsi="Arial"/>
          <w:color w:val="002752"/>
          <w:sz w:val="26"/>
        </w:rPr>
        <w:t>Parte II — 3. Estructura y Gestión de Lecciones</w:t>
      </w:r>
    </w:p>
    <w:p>
      <w:pPr>
        <w:spacing w:line="276" w:lineRule="auto" w:after="80"/>
      </w:pPr>
      <w:r>
        <w:rPr>
          <w:b/>
        </w:rPr>
        <w:t xml:space="preserve">Acción del Usuario: </w:t>
      </w:r>
      <w:r>
        <w:t>En la fila del curso, el gestor selecciona 'Gestionar lecciones'. Puede registrar nuevas lecciones asignando título descriptivo. La plataforma asigna automáticamente el número de orden secuencial (1, 2, 3...) sin huecos ni duplicados para garantizar la navegación continua del estudiante.</w:t>
        <w:br/>
      </w:r>
      <w:r>
        <w:rPr>
          <w:b/>
        </w:rPr>
        <w:t xml:space="preserve">Respuesta del Sistema: </w:t>
      </w:r>
      <w:r>
        <w:t>Cada lección creada nace automáticamente con su Versión 1 en estado BORRADOR, habilitando de inmediato la carga de materiales accesibles.</w:t>
      </w:r>
    </w:p>
    <w:p>
      <w:pPr>
        <w:spacing w:after="80"/>
      </w:pPr>
      <w:r>
        <w:rPr>
          <w:b/>
          <w:color w:val="155724"/>
        </w:rPr>
        <w:t xml:space="preserve">♿ Criterio de Accesibilidad / Norma: </w:t>
      </w:r>
      <w:r>
        <w:rPr>
          <w:sz w:val="19"/>
        </w:rPr>
        <w:t>Garantía de navegación continua: ordenamiento numérico estricto para evitar enlaces rotos o lecciones omitidas.</w:t>
      </w:r>
    </w:p>
    <w:p>
      <w:pPr>
        <w:spacing w:before="80" w:after="160"/>
        <w:jc w:val="center"/>
      </w:pPr>
      <w:r>
        <w:drawing>
          <wp:inline xmlns:a="http://schemas.openxmlformats.org/drawingml/2006/main" xmlns:pic="http://schemas.openxmlformats.org/drawingml/2006/picture">
            <wp:extent cx="3197902" cy="4572000"/>
            <wp:docPr id="8" name="Picture 8"/>
            <wp:cNvGraphicFramePr>
              <a:graphicFrameLocks noChangeAspect="1"/>
            </wp:cNvGraphicFramePr>
            <a:graphic>
              <a:graphicData uri="http://schemas.openxmlformats.org/drawingml/2006/picture">
                <pic:pic>
                  <pic:nvPicPr>
                    <pic:cNvPr id="0" name="08_gestor_lecciones.png"/>
                    <pic:cNvPicPr/>
                  </pic:nvPicPr>
                  <pic:blipFill>
                    <a:blip r:embed="rId16"/>
                    <a:stretch>
                      <a:fillRect/>
                    </a:stretch>
                  </pic:blipFill>
                  <pic:spPr>
                    <a:xfrm>
                      <a:off x="0" y="0"/>
                      <a:ext cx="3197902" cy="4572000"/>
                    </a:xfrm>
                    <a:prstGeom prst="rect"/>
                  </pic:spPr>
                </pic:pic>
              </a:graphicData>
            </a:graphic>
          </wp:inline>
        </w:drawing>
      </w:r>
    </w:p>
    <w:p>
      <w:r>
        <w:br w:type="page"/>
      </w:r>
    </w:p>
    <w:p>
      <w:pPr>
        <w:pStyle w:val="Heading2"/>
      </w:pPr>
      <w:r>
        <w:rPr>
          <w:rFonts w:ascii="Arial" w:hAnsi="Arial"/>
          <w:color w:val="002752"/>
          <w:sz w:val="26"/>
        </w:rPr>
        <w:t>Parte II — 4. Ciclo Editorial Inmutable: Historial de Versiones</w:t>
      </w:r>
    </w:p>
    <w:p>
      <w:pPr>
        <w:spacing w:line="276" w:lineRule="auto" w:after="80"/>
      </w:pPr>
      <w:r>
        <w:rPr>
          <w:b/>
        </w:rPr>
        <w:t xml:space="preserve">Acción del Usuario: </w:t>
      </w:r>
      <w:r>
        <w:t>Al pulsar 'Ver versiones' en cualquier lección, el gestor visualiza el historial inmutable (ADR-08). Las versiones PUBLICADAS y RETIRADAS son de solo lectura y nunca se sobreescriben. Para realizar correcciones o actualizaciones, el gestor pulsa '+ Crear Nueva Versión en Borrador'.</w:t>
        <w:br/>
      </w:r>
      <w:r>
        <w:rPr>
          <w:b/>
        </w:rPr>
        <w:t xml:space="preserve">Respuesta del Sistema: </w:t>
      </w:r>
      <w:r>
        <w:t>El sistema genera la versión v2 copiando automáticamente la transcripción, la ruta de audio, las imágenes y la fuente de la versión vigente, evitando recapturar la información desde cero.</w:t>
      </w:r>
    </w:p>
    <w:p>
      <w:pPr>
        <w:spacing w:after="80"/>
      </w:pPr>
      <w:r>
        <w:rPr>
          <w:b/>
          <w:color w:val="155724"/>
        </w:rPr>
        <w:t xml:space="preserve">♿ Criterio de Accesibilidad / Norma: </w:t>
      </w:r>
      <w:r>
        <w:rPr>
          <w:sz w:val="19"/>
        </w:rPr>
        <w:t>ADR-08 (Inmutabilidad editorial): trazabilidad histórica sin sentencias UPDATE en registros de contenido aprobado.</w:t>
      </w:r>
    </w:p>
    <w:p>
      <w:pPr>
        <w:spacing w:before="80" w:after="160"/>
        <w:jc w:val="center"/>
      </w:pPr>
      <w:r>
        <w:drawing>
          <wp:inline xmlns:a="http://schemas.openxmlformats.org/drawingml/2006/main" xmlns:pic="http://schemas.openxmlformats.org/drawingml/2006/picture">
            <wp:extent cx="5303520" cy="5593556"/>
            <wp:docPr id="9" name="Picture 9"/>
            <wp:cNvGraphicFramePr>
              <a:graphicFrameLocks noChangeAspect="1"/>
            </wp:cNvGraphicFramePr>
            <a:graphic>
              <a:graphicData uri="http://schemas.openxmlformats.org/drawingml/2006/picture">
                <pic:pic>
                  <pic:nvPicPr>
                    <pic:cNvPr id="0" name="09_gestor_versiones.png"/>
                    <pic:cNvPicPr/>
                  </pic:nvPicPr>
                  <pic:blipFill>
                    <a:blip r:embed="rId17"/>
                    <a:stretch>
                      <a:fillRect/>
                    </a:stretch>
                  </pic:blipFill>
                  <pic:spPr>
                    <a:xfrm>
                      <a:off x="0" y="0"/>
                      <a:ext cx="5303520" cy="5593556"/>
                    </a:xfrm>
                    <a:prstGeom prst="rect"/>
                  </pic:spPr>
                </pic:pic>
              </a:graphicData>
            </a:graphic>
          </wp:inline>
        </w:drawing>
      </w:r>
    </w:p>
    <w:p>
      <w:r>
        <w:br w:type="page"/>
      </w:r>
    </w:p>
    <w:p>
      <w:pPr>
        <w:pStyle w:val="Heading2"/>
      </w:pPr>
      <w:r>
        <w:rPr>
          <w:rFonts w:ascii="Arial" w:hAnsi="Arial"/>
          <w:color w:val="002752"/>
          <w:sz w:val="26"/>
        </w:rPr>
        <w:t>Parte II — 5. Edición de Borrador: Transcripción, Audio e Imágenes con Alt</w:t>
      </w:r>
    </w:p>
    <w:p>
      <w:pPr>
        <w:spacing w:line="276" w:lineRule="auto" w:after="80"/>
      </w:pPr>
      <w:r>
        <w:rPr>
          <w:b/>
        </w:rPr>
        <w:t xml:space="preserve">Acción del Usuario: </w:t>
      </w:r>
      <w:r>
        <w:t>En el editor del borrador (/gestor/versiones/{id}/editar), el gestor redacta o ajusta la transcripción textual completa, adjunta el archivo de audio nativo (formatos WAV, MP3 u OGG hasta 15 MB validados por el servidor) y carga imágenes de apoyo con su respectivo 'Texto alternativo (alt)' obligatorio.</w:t>
        <w:br/>
      </w:r>
      <w:r>
        <w:rPr>
          <w:b/>
        </w:rPr>
        <w:t xml:space="preserve">Respuesta del Sistema: </w:t>
      </w:r>
      <w:r>
        <w:t>El backend rechaza la subida de cualquier imagen que no incluya texto alternativo, cumpliendo de forma determinística con la pauta WCAG 1.1.1 en la capa de persistencia.</w:t>
      </w:r>
    </w:p>
    <w:p>
      <w:pPr>
        <w:spacing w:after="80"/>
      </w:pPr>
      <w:r>
        <w:rPr>
          <w:b/>
          <w:color w:val="155724"/>
        </w:rPr>
        <w:t xml:space="preserve">♿ Criterio de Accesibilidad / Norma: </w:t>
      </w:r>
      <w:r>
        <w:rPr>
          <w:sz w:val="19"/>
        </w:rPr>
        <w:t>WCAG 1.1.1 (Contenido no textual): texto alternativo obligatorio validado en el servidor; límite de audio de 15 MB con saneamiento UUID.</w:t>
      </w:r>
    </w:p>
    <w:p>
      <w:pPr>
        <w:spacing w:before="80" w:after="160"/>
        <w:jc w:val="center"/>
      </w:pPr>
      <w:r>
        <w:drawing>
          <wp:inline xmlns:a="http://schemas.openxmlformats.org/drawingml/2006/main" xmlns:pic="http://schemas.openxmlformats.org/drawingml/2006/picture">
            <wp:extent cx="3091474" cy="4572000"/>
            <wp:docPr id="10" name="Picture 10"/>
            <wp:cNvGraphicFramePr>
              <a:graphicFrameLocks noChangeAspect="1"/>
            </wp:cNvGraphicFramePr>
            <a:graphic>
              <a:graphicData uri="http://schemas.openxmlformats.org/drawingml/2006/picture">
                <pic:pic>
                  <pic:nvPicPr>
                    <pic:cNvPr id="0" name="10_gestor_editar_borrador.png"/>
                    <pic:cNvPicPr/>
                  </pic:nvPicPr>
                  <pic:blipFill>
                    <a:blip r:embed="rId18"/>
                    <a:stretch>
                      <a:fillRect/>
                    </a:stretch>
                  </pic:blipFill>
                  <pic:spPr>
                    <a:xfrm>
                      <a:off x="0" y="0"/>
                      <a:ext cx="3091474" cy="4572000"/>
                    </a:xfrm>
                    <a:prstGeom prst="rect"/>
                  </pic:spPr>
                </pic:pic>
              </a:graphicData>
            </a:graphic>
          </wp:inline>
        </w:drawing>
      </w:r>
    </w:p>
    <w:p>
      <w:r>
        <w:br w:type="page"/>
      </w:r>
    </w:p>
    <w:p>
      <w:pPr>
        <w:pStyle w:val="Heading2"/>
      </w:pPr>
      <w:r>
        <w:rPr>
          <w:rFonts w:ascii="Arial" w:hAnsi="Arial"/>
          <w:color w:val="002752"/>
          <w:sz w:val="26"/>
        </w:rPr>
        <w:t>Parte II — 6. Declaración de Derechos de Autor (Ley 23 de 1982) y Envío a Revisión</w:t>
      </w:r>
    </w:p>
    <w:p>
      <w:pPr>
        <w:spacing w:line="276" w:lineRule="auto" w:after="80"/>
      </w:pPr>
      <w:r>
        <w:rPr>
          <w:b/>
        </w:rPr>
        <w:t xml:space="preserve">Acción del Usuario: </w:t>
      </w:r>
      <w:r>
        <w:t>En la parte inferior del borrador, el gestor debe ingresar la Fuente del Material y marcar la casilla de declaración legal: 'Declaro que cuento con la debida autorización de uso...'. Tras completar los requisitos, presiona 'Guardar y enviar esta versión a Revisión Técnica'.</w:t>
        <w:br/>
      </w:r>
      <w:r>
        <w:rPr>
          <w:b/>
        </w:rPr>
        <w:t xml:space="preserve">Respuesta del Sistema: </w:t>
      </w:r>
      <w:r>
        <w:t>La versión cambia automáticamente de estado BORRADOR a EN_REVISION, registrando la fecha exacta y quedando encolada en la bandeja del Revisor de Accesibilidad.</w:t>
      </w:r>
    </w:p>
    <w:p>
      <w:pPr>
        <w:spacing w:after="80"/>
      </w:pPr>
      <w:r>
        <w:rPr>
          <w:b/>
          <w:color w:val="155724"/>
        </w:rPr>
        <w:t xml:space="preserve">♿ Criterio de Accesibilidad / Norma: </w:t>
      </w:r>
      <w:r>
        <w:rPr>
          <w:sz w:val="19"/>
        </w:rPr>
        <w:t>Ley 23 de 1982 sobre Derechos de Autor: trazabilidad legal y control de licenciamiento antes de la publicación técnica.</w:t>
      </w:r>
    </w:p>
    <w:p>
      <w:pPr>
        <w:spacing w:before="80" w:after="160"/>
        <w:jc w:val="center"/>
      </w:pPr>
      <w:r>
        <w:drawing>
          <wp:inline xmlns:a="http://schemas.openxmlformats.org/drawingml/2006/main" xmlns:pic="http://schemas.openxmlformats.org/drawingml/2006/picture">
            <wp:extent cx="2960121" cy="4572000"/>
            <wp:docPr id="11" name="Picture 11"/>
            <wp:cNvGraphicFramePr>
              <a:graphicFrameLocks noChangeAspect="1"/>
            </wp:cNvGraphicFramePr>
            <a:graphic>
              <a:graphicData uri="http://schemas.openxmlformats.org/drawingml/2006/picture">
                <pic:pic>
                  <pic:nvPicPr>
                    <pic:cNvPr id="0" name="10b_gestor_licencia_ley23.png"/>
                    <pic:cNvPicPr/>
                  </pic:nvPicPr>
                  <pic:blipFill>
                    <a:blip r:embed="rId19"/>
                    <a:stretch>
                      <a:fillRect/>
                    </a:stretch>
                  </pic:blipFill>
                  <pic:spPr>
                    <a:xfrm>
                      <a:off x="0" y="0"/>
                      <a:ext cx="2960121" cy="4572000"/>
                    </a:xfrm>
                    <a:prstGeom prst="rect"/>
                  </pic:spPr>
                </pic:pic>
              </a:graphicData>
            </a:graphic>
          </wp:inline>
        </w:drawing>
      </w:r>
    </w:p>
    <w:p>
      <w:r>
        <w:br w:type="page"/>
      </w:r>
    </w:p>
    <w:p>
      <w:pPr>
        <w:pStyle w:val="Heading1"/>
      </w:pPr>
      <w:r>
        <w:rPr>
          <w:rFonts w:ascii="Arial" w:hAnsi="Arial"/>
          <w:color w:val="002752"/>
        </w:rPr>
        <w:t>Parte III / Portal del Revisor: Auditoría Técnica y Cierre Editorial</w:t>
      </w:r>
    </w:p>
    <w:p>
      <w:pPr>
        <w:pStyle w:val="Heading2"/>
      </w:pPr>
      <w:r>
        <w:rPr>
          <w:rFonts w:ascii="Arial" w:hAnsi="Arial"/>
          <w:color w:val="002752"/>
          <w:sz w:val="26"/>
        </w:rPr>
        <w:t>Parte III — 1. Bandeja de Cola de Revisión Técnica</w:t>
      </w:r>
    </w:p>
    <w:p>
      <w:pPr>
        <w:spacing w:line="276" w:lineRule="auto" w:after="80"/>
      </w:pPr>
      <w:r>
        <w:rPr>
          <w:b/>
        </w:rPr>
        <w:t xml:space="preserve">Acción del Usuario: </w:t>
      </w:r>
      <w:r>
        <w:t>El Revisor de Accesibilidad ingresa con su rol institucional a /revisor/cola. En esta pantalla se presentan todas las versiones enviadas por los gestores que esperan dictamen técnico. Si la versión proviene de una corrección previa, se indica claramente que es una 'Subsanación de versión anterior'.</w:t>
        <w:br/>
      </w:r>
      <w:r>
        <w:rPr>
          <w:b/>
        </w:rPr>
        <w:t xml:space="preserve">Respuesta del Sistema: </w:t>
      </w:r>
      <w:r>
        <w:t>Se aplica el principio de separación de funciones: un gestor de contenido no puede auditar ni aprobar sus propios contenidos.</w:t>
      </w:r>
    </w:p>
    <w:p>
      <w:pPr>
        <w:spacing w:after="80"/>
      </w:pPr>
      <w:r>
        <w:rPr>
          <w:b/>
          <w:color w:val="155724"/>
        </w:rPr>
        <w:t xml:space="preserve">♿ Criterio de Accesibilidad / Norma: </w:t>
      </w:r>
      <w:r>
        <w:rPr>
          <w:sz w:val="19"/>
        </w:rPr>
        <w:t>Separación de responsabilidades y cola de trabajo ordenada por fecha de solicitud.</w:t>
      </w:r>
    </w:p>
    <w:p>
      <w:pPr>
        <w:spacing w:before="80" w:after="160"/>
        <w:jc w:val="center"/>
      </w:pPr>
      <w:r>
        <w:drawing>
          <wp:inline xmlns:a="http://schemas.openxmlformats.org/drawingml/2006/main" xmlns:pic="http://schemas.openxmlformats.org/drawingml/2006/picture">
            <wp:extent cx="5303520" cy="4367117"/>
            <wp:docPr id="12" name="Picture 12"/>
            <wp:cNvGraphicFramePr>
              <a:graphicFrameLocks noChangeAspect="1"/>
            </wp:cNvGraphicFramePr>
            <a:graphic>
              <a:graphicData uri="http://schemas.openxmlformats.org/drawingml/2006/picture">
                <pic:pic>
                  <pic:nvPicPr>
                    <pic:cNvPr id="0" name="11_revisor_cola.png"/>
                    <pic:cNvPicPr/>
                  </pic:nvPicPr>
                  <pic:blipFill>
                    <a:blip r:embed="rId20"/>
                    <a:stretch>
                      <a:fillRect/>
                    </a:stretch>
                  </pic:blipFill>
                  <pic:spPr>
                    <a:xfrm>
                      <a:off x="0" y="0"/>
                      <a:ext cx="5303520" cy="4367117"/>
                    </a:xfrm>
                    <a:prstGeom prst="rect"/>
                  </pic:spPr>
                </pic:pic>
              </a:graphicData>
            </a:graphic>
          </wp:inline>
        </w:drawing>
      </w:r>
    </w:p>
    <w:p>
      <w:r>
        <w:br w:type="page"/>
      </w:r>
    </w:p>
    <w:p>
      <w:pPr>
        <w:pStyle w:val="Heading2"/>
      </w:pPr>
      <w:r>
        <w:rPr>
          <w:rFonts w:ascii="Arial" w:hAnsi="Arial"/>
          <w:color w:val="002752"/>
          <w:sz w:val="26"/>
        </w:rPr>
        <w:t>Parte III — 2. Auditoría Técnica con Checklist WCAG 2.1 AA y NTC 5854</w:t>
      </w:r>
    </w:p>
    <w:p>
      <w:pPr>
        <w:spacing w:line="276" w:lineRule="auto" w:after="80"/>
      </w:pPr>
      <w:r>
        <w:rPr>
          <w:b/>
        </w:rPr>
        <w:t xml:space="preserve">Acción del Usuario: </w:t>
      </w:r>
      <w:r>
        <w:t>Al presionar 'Auditar y Calificar', el revisor evalúa el contenido reproduciendo el audio, leyendo la transcripción y verificando imágenes y licencias. En la sección de evaluación marca los 6 criterios del checklist técnico (audio inteligible, transcripción completa, estructura semántica, sin referencias solo visuales, idioma español y enlaces descriptivos).</w:t>
        <w:br/>
      </w:r>
      <w:r>
        <w:rPr>
          <w:b/>
        </w:rPr>
        <w:t xml:space="preserve">Respuesta del Sistema: </w:t>
      </w:r>
      <w:r>
        <w:t>Para 'Aprobar y Publicar' se exige el 100% de cumplimiento de los criterios. Al aprobar, la versión pasa a PUBLICADA y la versión previa a RETIRADA. Si no cumple, el revisor redacta el motivo de las no conformidades y pulsa 'Rechazar Versión con este Motivo'.</w:t>
      </w:r>
    </w:p>
    <w:p>
      <w:pPr>
        <w:spacing w:after="80"/>
      </w:pPr>
      <w:r>
        <w:rPr>
          <w:b/>
          <w:color w:val="155724"/>
        </w:rPr>
        <w:t xml:space="preserve">♿ Criterio de Accesibilidad / Norma: </w:t>
      </w:r>
      <w:r>
        <w:rPr>
          <w:sz w:val="19"/>
        </w:rPr>
        <w:t>NTC 5854 y WCAG 2.1 AA: umbral del 100% en criterios de accesibilidad para autorizar la publicación oficial.</w:t>
      </w:r>
    </w:p>
    <w:p>
      <w:pPr>
        <w:spacing w:before="80" w:after="160"/>
        <w:jc w:val="center"/>
      </w:pPr>
      <w:r>
        <w:drawing>
          <wp:inline xmlns:a="http://schemas.openxmlformats.org/drawingml/2006/main" xmlns:pic="http://schemas.openxmlformats.org/drawingml/2006/picture">
            <wp:extent cx="3410350" cy="4572000"/>
            <wp:docPr id="13" name="Picture 13"/>
            <wp:cNvGraphicFramePr>
              <a:graphicFrameLocks noChangeAspect="1"/>
            </wp:cNvGraphicFramePr>
            <a:graphic>
              <a:graphicData uri="http://schemas.openxmlformats.org/drawingml/2006/picture">
                <pic:pic>
                  <pic:nvPicPr>
                    <pic:cNvPr id="0" name="12_revisor_auditoria.png"/>
                    <pic:cNvPicPr/>
                  </pic:nvPicPr>
                  <pic:blipFill>
                    <a:blip r:embed="rId21"/>
                    <a:stretch>
                      <a:fillRect/>
                    </a:stretch>
                  </pic:blipFill>
                  <pic:spPr>
                    <a:xfrm>
                      <a:off x="0" y="0"/>
                      <a:ext cx="3410350" cy="4572000"/>
                    </a:xfrm>
                    <a:prstGeom prst="rect"/>
                  </pic:spPr>
                </pic:pic>
              </a:graphicData>
            </a:graphic>
          </wp:inline>
        </w:drawing>
      </w:r>
    </w:p>
    <w:p>
      <w:r>
        <w:br w:type="page"/>
      </w:r>
    </w:p>
    <w:p>
      <w:pPr>
        <w:pStyle w:val="Heading2"/>
      </w:pPr>
      <w:r>
        <w:rPr>
          <w:rFonts w:ascii="Arial" w:hAnsi="Arial"/>
          <w:color w:val="002752"/>
          <w:sz w:val="26"/>
        </w:rPr>
        <w:t>Parte III — 3. Emisión y Consulta de Informes de Revisión Imprimibles</w:t>
      </w:r>
    </w:p>
    <w:p>
      <w:pPr>
        <w:spacing w:line="276" w:lineRule="auto" w:after="80"/>
      </w:pPr>
      <w:r>
        <w:rPr>
          <w:b/>
        </w:rPr>
        <w:t xml:space="preserve">Acción del Usuario: </w:t>
      </w:r>
      <w:r>
        <w:t>Desde el menú 'Informes de revisión' (/informes-revision), tanto el gestor como el revisor pueden consultar el historial de auditorías técnicas emitidas, con el desglose de criterios cumplidos, fecha y dictamen final.</w:t>
        <w:br/>
      </w:r>
      <w:r>
        <w:rPr>
          <w:b/>
        </w:rPr>
        <w:t xml:space="preserve">Respuesta del Sistema: </w:t>
      </w:r>
      <w:r>
        <w:t>Al abrir el detalle del informe, la vista cuenta con hoja de estilo CSS adaptada para impresión formal (Ctrl + P), sirviendo como soporte auditable y evidencia física para el Plan de Gestión de Calidad.</w:t>
      </w:r>
    </w:p>
    <w:p>
      <w:pPr>
        <w:spacing w:after="80"/>
      </w:pPr>
      <w:r>
        <w:rPr>
          <w:b/>
          <w:color w:val="155724"/>
        </w:rPr>
        <w:t xml:space="preserve">♿ Criterio de Accesibilidad / Norma: </w:t>
      </w:r>
      <w:r>
        <w:rPr>
          <w:sz w:val="19"/>
        </w:rPr>
        <w:t>Evidencia formal de calidad: informes de auditoría inmutables e imprimibles bajo estándar institucional.</w:t>
      </w:r>
    </w:p>
    <w:p>
      <w:pPr>
        <w:spacing w:before="80" w:after="160"/>
        <w:jc w:val="center"/>
      </w:pPr>
      <w:r>
        <w:drawing>
          <wp:inline xmlns:a="http://schemas.openxmlformats.org/drawingml/2006/main" xmlns:pic="http://schemas.openxmlformats.org/drawingml/2006/picture">
            <wp:extent cx="5303520" cy="3729038"/>
            <wp:docPr id="14" name="Picture 14"/>
            <wp:cNvGraphicFramePr>
              <a:graphicFrameLocks noChangeAspect="1"/>
            </wp:cNvGraphicFramePr>
            <a:graphic>
              <a:graphicData uri="http://schemas.openxmlformats.org/drawingml/2006/picture">
                <pic:pic>
                  <pic:nvPicPr>
                    <pic:cNvPr id="0" name="13_revisor_informes.png"/>
                    <pic:cNvPicPr/>
                  </pic:nvPicPr>
                  <pic:blipFill>
                    <a:blip r:embed="rId22"/>
                    <a:stretch>
                      <a:fillRect/>
                    </a:stretch>
                  </pic:blipFill>
                  <pic:spPr>
                    <a:xfrm>
                      <a:off x="0" y="0"/>
                      <a:ext cx="5303520" cy="3729038"/>
                    </a:xfrm>
                    <a:prstGeom prst="rect"/>
                  </pic:spPr>
                </pic:pic>
              </a:graphicData>
            </a:graphic>
          </wp:inline>
        </w:drawing>
      </w:r>
    </w:p>
    <w:p>
      <w:r>
        <w:br w:type="page"/>
      </w:r>
    </w:p>
    <w:p>
      <w:pPr>
        <w:pStyle w:val="Heading1"/>
      </w:pPr>
      <w:r>
        <w:rPr>
          <w:rFonts w:ascii="Arial" w:hAnsi="Arial"/>
          <w:color w:val="002752"/>
        </w:rPr>
        <w:t>Parte IV / Soporte al Usuario, Reporte de Barreras y Glosario Técnico</w:t>
      </w:r>
    </w:p>
    <w:p>
      <w:pPr>
        <w:pStyle w:val="Heading2"/>
      </w:pPr>
      <w:r>
        <w:rPr>
          <w:rFonts w:ascii="Arial" w:hAnsi="Arial"/>
          <w:color w:val="002752"/>
          <w:sz w:val="26"/>
        </w:rPr>
        <w:t>1. Canal Público de Reporte de Barreras de Accesibilidad</w:t>
      </w:r>
    </w:p>
    <w:p>
      <w:pPr>
        <w:spacing w:line="276" w:lineRule="auto" w:after="160"/>
      </w:pPr>
      <w:r>
        <w:t xml:space="preserve">En cumplimiento de la Ley Estatutaria 1618 de 2013 y la Resolución 1519 de 2020 de MinTIC, EcoAula dispone de un canal público y permanente para que cualquier aprendiz, tutor o ciudadano reporte barreras de accesibilidad sin necesidad de iniciar sesión previa. Si el usuario experimenta incompatibilidad con su lector de pantalla (NVDA, JAWS, VoiceOver), problemas de contraste, fallas en la navegación por teclado o ausencia de transcripciones, puede acceder a </w:t>
      </w:r>
      <w:r>
        <w:rPr>
          <w:b/>
        </w:rPr>
        <w:t>https://3-237-185-159.sslip.io/reportar-barrera</w:t>
      </w:r>
      <w:r>
        <w:t xml:space="preserve"> para registrar la incidencia y permitir su subsanación inmediata por parte del equipo de calidad.</w:t>
      </w:r>
    </w:p>
    <w:p>
      <w:pPr>
        <w:pStyle w:val="Heading2"/>
      </w:pPr>
      <w:r>
        <w:rPr>
          <w:rFonts w:ascii="Arial" w:hAnsi="Arial"/>
          <w:color w:val="002752"/>
          <w:sz w:val="26"/>
        </w:rPr>
        <w:t>2. Glosario de Accesibilidad Web y Arquitectura</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r>
              <w:rPr>
                <w:rFonts w:ascii="Arial" w:hAnsi="Arial"/>
                <w:b/>
                <w:color w:val="002752"/>
                <w:sz w:val="19"/>
              </w:rPr>
              <w:t>WCAG 2.1 (Nivel AA)</w:t>
            </w:r>
          </w:p>
        </w:tc>
        <w:tc>
          <w:tcPr>
            <w:tcW w:type="dxa" w:w="6192"/>
            <w:shd w:fill="FFFFFF"/>
            <w:tcMar>
              <w:top w:w="60" w:type="dxa"/>
              <w:bottom w:w="60" w:type="dxa"/>
              <w:left w:w="100" w:type="dxa"/>
              <w:right w:w="100" w:type="dxa"/>
            </w:tcMar>
          </w:tcPr>
          <w:p>
            <w:r>
              <w:rPr>
                <w:rFonts w:ascii="Arial" w:hAnsi="Arial"/>
                <w:color w:val="333333"/>
                <w:sz w:val="19"/>
              </w:rPr>
              <w:t>Pautas de Accesibilidad para el Contenido Web del W3C. Establecen los criterios normativos de perceptibilidad, operabilidad, comprensibilidad y robustez de obligatorio cumplimiento en Colombia.</w:t>
            </w:r>
          </w:p>
        </w:tc>
      </w:tr>
      <w:tr>
        <w:tc>
          <w:tcPr>
            <w:tcW w:type="dxa" w:w="3168"/>
            <w:shd w:fill="F0F4F8"/>
            <w:tcMar>
              <w:top w:w="60" w:type="dxa"/>
              <w:bottom w:w="60" w:type="dxa"/>
              <w:left w:w="100" w:type="dxa"/>
              <w:right w:w="100" w:type="dxa"/>
            </w:tcMar>
          </w:tcPr>
          <w:p>
            <w:r>
              <w:rPr>
                <w:rFonts w:ascii="Arial" w:hAnsi="Arial"/>
                <w:b/>
                <w:color w:val="002752"/>
                <w:sz w:val="19"/>
              </w:rPr>
              <w:t>NTC 5854</w:t>
            </w:r>
          </w:p>
        </w:tc>
        <w:tc>
          <w:tcPr>
            <w:tcW w:type="dxa" w:w="6192"/>
            <w:shd w:fill="FFFFFF"/>
            <w:tcMar>
              <w:top w:w="60" w:type="dxa"/>
              <w:bottom w:w="60" w:type="dxa"/>
              <w:left w:w="100" w:type="dxa"/>
              <w:right w:w="100" w:type="dxa"/>
            </w:tcMar>
          </w:tcPr>
          <w:p>
            <w:r>
              <w:rPr>
                <w:rFonts w:ascii="Arial" w:hAnsi="Arial"/>
                <w:color w:val="333333"/>
                <w:sz w:val="19"/>
              </w:rPr>
              <w:t>Norma Técnica Colombiana de accesibilidad a páginas web expedida por el ICONTEC y exigida por el Ministerio de las TIC.</w:t>
            </w:r>
          </w:p>
        </w:tc>
      </w:tr>
      <w:tr>
        <w:tc>
          <w:tcPr>
            <w:tcW w:type="dxa" w:w="3168"/>
            <w:shd w:fill="F0F4F8"/>
            <w:tcMar>
              <w:top w:w="60" w:type="dxa"/>
              <w:bottom w:w="60" w:type="dxa"/>
              <w:left w:w="100" w:type="dxa"/>
              <w:right w:w="100" w:type="dxa"/>
            </w:tcMar>
          </w:tcPr>
          <w:p>
            <w:r>
              <w:rPr>
                <w:rFonts w:ascii="Arial" w:hAnsi="Arial"/>
                <w:b/>
                <w:color w:val="002752"/>
                <w:sz w:val="19"/>
              </w:rPr>
              <w:t>Texto Alternativo (Alt)</w:t>
            </w:r>
          </w:p>
        </w:tc>
        <w:tc>
          <w:tcPr>
            <w:tcW w:type="dxa" w:w="6192"/>
            <w:shd w:fill="FFFFFF"/>
            <w:tcMar>
              <w:top w:w="60" w:type="dxa"/>
              <w:bottom w:w="60" w:type="dxa"/>
              <w:left w:w="100" w:type="dxa"/>
              <w:right w:w="100" w:type="dxa"/>
            </w:tcMar>
          </w:tcPr>
          <w:p>
            <w:r>
              <w:rPr>
                <w:rFonts w:ascii="Arial" w:hAnsi="Arial"/>
                <w:color w:val="333333"/>
                <w:sz w:val="19"/>
              </w:rPr>
              <w:t>Descripción textual sintética (máximo 250 caracteres) obligatoria en cada imagen para transmitir su función o significado a personas ciegas (WCAG 1.1.1).</w:t>
            </w:r>
          </w:p>
        </w:tc>
      </w:tr>
      <w:tr>
        <w:tc>
          <w:tcPr>
            <w:tcW w:type="dxa" w:w="3168"/>
            <w:shd w:fill="F0F4F8"/>
            <w:tcMar>
              <w:top w:w="60" w:type="dxa"/>
              <w:bottom w:w="60" w:type="dxa"/>
              <w:left w:w="100" w:type="dxa"/>
              <w:right w:w="100" w:type="dxa"/>
            </w:tcMar>
          </w:tcPr>
          <w:p>
            <w:r>
              <w:rPr>
                <w:rFonts w:ascii="Arial" w:hAnsi="Arial"/>
                <w:b/>
                <w:color w:val="002752"/>
                <w:sz w:val="19"/>
              </w:rPr>
              <w:t>Bloqueo Pesimista (ADR-06)</w:t>
            </w:r>
          </w:p>
        </w:tc>
        <w:tc>
          <w:tcPr>
            <w:tcW w:type="dxa" w:w="6192"/>
            <w:shd w:fill="FFFFFF"/>
            <w:tcMar>
              <w:top w:w="60" w:type="dxa"/>
              <w:bottom w:w="60" w:type="dxa"/>
              <w:left w:w="100" w:type="dxa"/>
              <w:right w:w="100" w:type="dxa"/>
            </w:tcMar>
          </w:tcPr>
          <w:p>
            <w:r>
              <w:rPr>
                <w:rFonts w:ascii="Arial" w:hAnsi="Arial"/>
                <w:color w:val="333333"/>
                <w:sz w:val="19"/>
              </w:rPr>
              <w:t>Mecanismo de concurrencia en base de datos (SELECT ... FOR UPDATE) implementado en el servicio de matrícula para garantizar cero sobrecupos ante solicitudes concurrentes.</w:t>
            </w:r>
          </w:p>
        </w:tc>
      </w:tr>
      <w:tr>
        <w:tc>
          <w:tcPr>
            <w:tcW w:type="dxa" w:w="3168"/>
            <w:shd w:fill="F0F4F8"/>
            <w:tcMar>
              <w:top w:w="60" w:type="dxa"/>
              <w:bottom w:w="60" w:type="dxa"/>
              <w:left w:w="100" w:type="dxa"/>
              <w:right w:w="100" w:type="dxa"/>
            </w:tcMar>
          </w:tcPr>
          <w:p>
            <w:r>
              <w:rPr>
                <w:rFonts w:ascii="Arial" w:hAnsi="Arial"/>
                <w:b/>
                <w:color w:val="002752"/>
                <w:sz w:val="19"/>
              </w:rPr>
              <w:t>Inmutabilidad Editorial (ADR-08)</w:t>
            </w:r>
          </w:p>
        </w:tc>
        <w:tc>
          <w:tcPr>
            <w:tcW w:type="dxa" w:w="6192"/>
            <w:shd w:fill="FFFFFF"/>
            <w:tcMar>
              <w:top w:w="60" w:type="dxa"/>
              <w:bottom w:w="60" w:type="dxa"/>
              <w:left w:w="100" w:type="dxa"/>
              <w:right w:w="100" w:type="dxa"/>
            </w:tcMar>
          </w:tcPr>
          <w:p>
            <w:r>
              <w:rPr>
                <w:rFonts w:ascii="Arial" w:hAnsi="Arial"/>
                <w:color w:val="333333"/>
                <w:sz w:val="19"/>
              </w:rPr>
              <w:t>Principio de diseño donde una versión de contenido publicada jamás se sobrescribe mediante sentencias UPDATE; cualquier cambio genera una nueva versión en borrador conservando la trazabilidad histórica.</w:t>
            </w:r>
          </w:p>
        </w:tc>
      </w:tr>
      <w:tr>
        <w:tc>
          <w:tcPr>
            <w:tcW w:type="dxa" w:w="3168"/>
            <w:shd w:fill="F0F4F8"/>
            <w:tcMar>
              <w:top w:w="60" w:type="dxa"/>
              <w:bottom w:w="60" w:type="dxa"/>
              <w:left w:w="100" w:type="dxa"/>
              <w:right w:w="100" w:type="dxa"/>
            </w:tcMar>
          </w:tcPr>
          <w:p>
            <w:r>
              <w:rPr>
                <w:rFonts w:ascii="Arial" w:hAnsi="Arial"/>
                <w:b/>
                <w:color w:val="002752"/>
                <w:sz w:val="19"/>
              </w:rPr>
              <w:t>Cifrado en Reposo (ADR-09)</w:t>
            </w:r>
          </w:p>
        </w:tc>
        <w:tc>
          <w:tcPr>
            <w:tcW w:type="dxa" w:w="6192"/>
            <w:shd w:fill="FFFFFF"/>
            <w:tcMar>
              <w:top w:w="60" w:type="dxa"/>
              <w:bottom w:w="60" w:type="dxa"/>
              <w:left w:w="100" w:type="dxa"/>
              <w:right w:w="100" w:type="dxa"/>
            </w:tcMar>
          </w:tcPr>
          <w:p>
            <w:r>
              <w:rPr>
                <w:rFonts w:ascii="Arial" w:hAnsi="Arial"/>
                <w:color w:val="333333"/>
                <w:sz w:val="19"/>
              </w:rPr>
              <w:t>Protección criptográfica AES-256 en modo GCM con vector de inicialización único para la condición visual del estudiante, garantizando conformidad con la Ley 1581 de 2012.</w:t>
            </w:r>
          </w:p>
        </w:tc>
      </w:tr>
      <w:tr>
        <w:tc>
          <w:tcPr>
            <w:tcW w:type="dxa" w:w="3168"/>
            <w:shd w:fill="F0F4F8"/>
            <w:tcMar>
              <w:top w:w="60" w:type="dxa"/>
              <w:bottom w:w="60" w:type="dxa"/>
              <w:left w:w="100" w:type="dxa"/>
              <w:right w:w="100" w:type="dxa"/>
            </w:tcMar>
          </w:tcPr>
          <w:p>
            <w:r>
              <w:rPr>
                <w:rFonts w:ascii="Arial" w:hAnsi="Arial"/>
                <w:b/>
                <w:color w:val="002752"/>
                <w:sz w:val="19"/>
              </w:rPr>
              <w:t>Lector de Pantalla</w:t>
            </w:r>
          </w:p>
        </w:tc>
        <w:tc>
          <w:tcPr>
            <w:tcW w:type="dxa" w:w="6192"/>
            <w:shd w:fill="FFFFFF"/>
            <w:tcMar>
              <w:top w:w="60" w:type="dxa"/>
              <w:bottom w:w="60" w:type="dxa"/>
              <w:left w:w="100" w:type="dxa"/>
              <w:right w:w="100" w:type="dxa"/>
            </w:tcMar>
          </w:tcPr>
          <w:p>
            <w:r>
              <w:rPr>
                <w:rFonts w:ascii="Arial" w:hAnsi="Arial"/>
                <w:color w:val="333333"/>
                <w:sz w:val="19"/>
              </w:rPr>
              <w:t>Tecnología de asistencia (NVDA, JAWS, VoiceOver, TalkBack) que verbaliza la estructura semántica y el contenido de la plataforma para permitir la autonomía de usuarios con discapacidad visual.</w:t>
            </w:r>
          </w:p>
        </w:tc>
      </w:tr>
    </w:tbl>
    <w:p>
      <w:pPr>
        <w:pStyle w:val="Heading2"/>
      </w:pPr>
      <w:r>
        <w:rPr>
          <w:rFonts w:ascii="Arial" w:hAnsi="Arial"/>
          <w:color w:val="002752"/>
          <w:sz w:val="26"/>
        </w:rPr>
        <w:t>3. Verificación Pública de Autenticidad de Certificados</w:t>
      </w:r>
    </w:p>
    <w:p>
      <w:pPr>
        <w:spacing w:line="276" w:lineRule="auto" w:after="160"/>
      </w:pPr>
      <w:r>
        <w:t>Cualquier empresa, entidad verificadora o ciudadano puede corroborar la validez de un certificado emitido por EcoAula sin necesidad de contar con una cuenta en la plataforma:</w:t>
        <w:br/>
        <w:t>• En la interfaz web: Ingresar a https://3-237-185-159.sslip.io/verificar, digitar el código alfanumérico (formato EA-XXXX-XXXX-XXXX-XXXX) y pulsar 'Validar autenticidad'.</w:t>
        <w:br/>
        <w:t>• Desde sistemas externos (API REST): GET /api/v1/certificados/{codigo}/verificacion retorna {'valido': true} o {'valido': false}.</w:t>
        <w:br/>
        <w:t>• Criterio de Privacidad: La consulta es pública y está protegida contra abusos mediante limitación de tasa (Rate Limiting). En cumplimiento de la Ley 1581 de 2012, el servicio confirma la validez sin exponer datos personales del aprendiz.</w:t>
      </w:r>
    </w:p>
    <w:p>
      <w:r>
        <w:br w:type="page"/>
      </w:r>
    </w:p>
    <w:p>
      <w:pPr>
        <w:pStyle w:val="Heading1"/>
      </w:pPr>
      <w:r>
        <w:rPr>
          <w:rFonts w:ascii="Arial" w:hAnsi="Arial"/>
          <w:color w:val="002752"/>
        </w:rPr>
        <w:t>Parte V / Solución de Problemas Frecuentes (Troubleshooting)</w:t>
      </w:r>
    </w:p>
    <w:p>
      <w:pPr>
        <w:spacing w:line="276" w:lineRule="auto" w:after="160"/>
      </w:pPr>
      <w:r>
        <w:t>A continuación se resumen las dudas y situaciones operativas más comunes observadas durante el uso de la plataforma y su resolución inmediata:</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EBF3EE"/>
            <w:tcMar>
              <w:top w:w="50" w:type="dxa"/>
              <w:bottom w:w="50" w:type="dxa"/>
              <w:left w:w="80" w:type="dxa"/>
              <w:right w:w="80" w:type="dxa"/>
            </w:tcMar>
          </w:tcPr>
          <w:p>
            <w:r>
              <w:rPr>
                <w:rFonts w:ascii="Arial" w:hAnsi="Arial"/>
                <w:b/>
                <w:color w:val="155724"/>
                <w:sz w:val="19"/>
              </w:rPr>
              <w:t>Situación Observada</w:t>
            </w:r>
          </w:p>
        </w:tc>
        <w:tc>
          <w:tcPr>
            <w:tcW w:type="dxa" w:w="3168"/>
            <w:shd w:fill="EBF3EE"/>
            <w:tcMar>
              <w:top w:w="50" w:type="dxa"/>
              <w:bottom w:w="50" w:type="dxa"/>
              <w:left w:w="80" w:type="dxa"/>
              <w:right w:w="80" w:type="dxa"/>
            </w:tcMar>
          </w:tcPr>
          <w:p>
            <w:r>
              <w:rPr>
                <w:rFonts w:ascii="Arial" w:hAnsi="Arial"/>
                <w:b/>
                <w:color w:val="155724"/>
                <w:sz w:val="19"/>
              </w:rPr>
              <w:t>Causa Probable</w:t>
            </w:r>
          </w:p>
        </w:tc>
        <w:tc>
          <w:tcPr>
            <w:tcW w:type="dxa" w:w="3600"/>
            <w:shd w:fill="EBF3EE"/>
            <w:tcMar>
              <w:top w:w="50" w:type="dxa"/>
              <w:bottom w:w="50" w:type="dxa"/>
              <w:left w:w="80" w:type="dxa"/>
              <w:right w:w="80" w:type="dxa"/>
            </w:tcMar>
          </w:tcPr>
          <w:p>
            <w:r>
              <w:rPr>
                <w:rFonts w:ascii="Arial" w:hAnsi="Arial"/>
                <w:b/>
                <w:color w:val="155724"/>
                <w:sz w:val="19"/>
              </w:rPr>
              <w:t>Solución / Qué Hacer</w:t>
            </w:r>
          </w:p>
        </w:tc>
      </w:tr>
      <w:tr>
        <w:tc>
          <w:tcPr>
            <w:tcW w:type="dxa" w:w="2592"/>
            <w:shd w:fill="F7FAFC"/>
            <w:tcMar>
              <w:top w:w="50" w:type="dxa"/>
              <w:bottom w:w="50" w:type="dxa"/>
              <w:left w:w="80" w:type="dxa"/>
              <w:right w:w="80" w:type="dxa"/>
            </w:tcMar>
          </w:tcPr>
          <w:p>
            <w:r>
              <w:rPr>
                <w:rFonts w:ascii="Arial" w:hAnsi="Arial"/>
                <w:b/>
                <w:color w:val="002752"/>
                <w:sz w:val="17"/>
              </w:rPr>
              <w:t>No aparece el botón 'Matricularme' en un curso</w:t>
            </w:r>
          </w:p>
        </w:tc>
        <w:tc>
          <w:tcPr>
            <w:tcW w:type="dxa" w:w="3168"/>
            <w:shd w:fill="F7FAFC"/>
            <w:tcMar>
              <w:top w:w="50" w:type="dxa"/>
              <w:bottom w:w="50" w:type="dxa"/>
              <w:left w:w="80" w:type="dxa"/>
              <w:right w:w="80" w:type="dxa"/>
            </w:tcMar>
          </w:tcPr>
          <w:p>
            <w:r>
              <w:rPr>
                <w:rFonts w:ascii="Arial" w:hAnsi="Arial"/>
                <w:b w:val="0"/>
                <w:color w:val="333333"/>
                <w:sz w:val="17"/>
              </w:rPr>
              <w:t>El curso agotó sus cupos disponibles o el aprendiz ya se encuentra matriculado en él.</w:t>
            </w:r>
          </w:p>
        </w:tc>
        <w:tc>
          <w:tcPr>
            <w:tcW w:type="dxa" w:w="3600"/>
            <w:shd w:fill="F7FAFC"/>
            <w:tcMar>
              <w:top w:w="50" w:type="dxa"/>
              <w:bottom w:w="50" w:type="dxa"/>
              <w:left w:w="80" w:type="dxa"/>
              <w:right w:w="80" w:type="dxa"/>
            </w:tcMar>
          </w:tcPr>
          <w:p>
            <w:r>
              <w:rPr>
                <w:rFonts w:ascii="Arial" w:hAnsi="Arial"/>
                <w:b w:val="0"/>
                <w:color w:val="333333"/>
                <w:sz w:val="17"/>
              </w:rPr>
              <w:t>Si ya está inscrito, pulsar 'Continuar curso'. Si no hay cupos (0 de N disponibles), aguardar ampliación de cupos por coordinación.</w:t>
            </w:r>
          </w:p>
        </w:tc>
      </w:tr>
      <w:tr>
        <w:tc>
          <w:tcPr>
            <w:tcW w:type="dxa" w:w="2592"/>
            <w:shd w:fill="FFFFFF"/>
            <w:tcMar>
              <w:top w:w="50" w:type="dxa"/>
              <w:bottom w:w="50" w:type="dxa"/>
              <w:left w:w="80" w:type="dxa"/>
              <w:right w:w="80" w:type="dxa"/>
            </w:tcMar>
          </w:tcPr>
          <w:p>
            <w:r>
              <w:rPr>
                <w:rFonts w:ascii="Arial" w:hAnsi="Arial"/>
                <w:b/>
                <w:color w:val="002752"/>
                <w:sz w:val="17"/>
              </w:rPr>
              <w:t>No aparece o no funciona 'Leer en voz alta'</w:t>
            </w:r>
          </w:p>
        </w:tc>
        <w:tc>
          <w:tcPr>
            <w:tcW w:type="dxa" w:w="3168"/>
            <w:shd w:fill="FFFFFF"/>
            <w:tcMar>
              <w:top w:w="50" w:type="dxa"/>
              <w:bottom w:w="50" w:type="dxa"/>
              <w:left w:w="80" w:type="dxa"/>
              <w:right w:w="80" w:type="dxa"/>
            </w:tcMar>
          </w:tcPr>
          <w:p>
            <w:r>
              <w:rPr>
                <w:rFonts w:ascii="Arial" w:hAnsi="Arial"/>
                <w:b w:val="0"/>
                <w:color w:val="333333"/>
                <w:sz w:val="17"/>
              </w:rPr>
              <w:t>El navegador no cuenta con paquetes de voces en español o no soporta Web Speech API.</w:t>
            </w:r>
          </w:p>
        </w:tc>
        <w:tc>
          <w:tcPr>
            <w:tcW w:type="dxa" w:w="3600"/>
            <w:shd w:fill="FFFFFF"/>
            <w:tcMar>
              <w:top w:w="50" w:type="dxa"/>
              <w:bottom w:w="50" w:type="dxa"/>
              <w:left w:w="80" w:type="dxa"/>
              <w:right w:w="80" w:type="dxa"/>
            </w:tcMar>
          </w:tcPr>
          <w:p>
            <w:r>
              <w:rPr>
                <w:rFonts w:ascii="Arial" w:hAnsi="Arial"/>
                <w:b w:val="0"/>
                <w:color w:val="333333"/>
                <w:sz w:val="17"/>
              </w:rPr>
              <w:t>Utilizar Google Chrome o Microsoft Edge e instalar voces en español en la configuración de accesibilidad del sistema operativo.</w:t>
            </w:r>
          </w:p>
        </w:tc>
      </w:tr>
      <w:tr>
        <w:tc>
          <w:tcPr>
            <w:tcW w:type="dxa" w:w="2592"/>
            <w:shd w:fill="F7FAFC"/>
            <w:tcMar>
              <w:top w:w="50" w:type="dxa"/>
              <w:bottom w:w="50" w:type="dxa"/>
              <w:left w:w="80" w:type="dxa"/>
              <w:right w:w="80" w:type="dxa"/>
            </w:tcMar>
          </w:tcPr>
          <w:p>
            <w:r>
              <w:rPr>
                <w:rFonts w:ascii="Arial" w:hAnsi="Arial"/>
                <w:b/>
                <w:color w:val="002752"/>
                <w:sz w:val="17"/>
              </w:rPr>
              <w:t>No se visualiza el avance del curso tras cerrar sesión</w:t>
            </w:r>
          </w:p>
        </w:tc>
        <w:tc>
          <w:tcPr>
            <w:tcW w:type="dxa" w:w="3168"/>
            <w:shd w:fill="F7FAFC"/>
            <w:tcMar>
              <w:top w:w="50" w:type="dxa"/>
              <w:bottom w:w="50" w:type="dxa"/>
              <w:left w:w="80" w:type="dxa"/>
              <w:right w:w="80" w:type="dxa"/>
            </w:tcMar>
          </w:tcPr>
          <w:p>
            <w:r>
              <w:rPr>
                <w:rFonts w:ascii="Arial" w:hAnsi="Arial"/>
                <w:b w:val="0"/>
                <w:color w:val="333333"/>
                <w:sz w:val="17"/>
              </w:rPr>
              <w:t>El estudiante no pulsó el botón de finalización de la lección antes de salir.</w:t>
            </w:r>
          </w:p>
        </w:tc>
        <w:tc>
          <w:tcPr>
            <w:tcW w:type="dxa" w:w="3600"/>
            <w:shd w:fill="F7FAFC"/>
            <w:tcMar>
              <w:top w:w="50" w:type="dxa"/>
              <w:bottom w:w="50" w:type="dxa"/>
              <w:left w:w="80" w:type="dxa"/>
              <w:right w:w="80" w:type="dxa"/>
            </w:tcMar>
          </w:tcPr>
          <w:p>
            <w:r>
              <w:rPr>
                <w:rFonts w:ascii="Arial" w:hAnsi="Arial"/>
                <w:b w:val="0"/>
                <w:color w:val="333333"/>
                <w:sz w:val="17"/>
              </w:rPr>
              <w:t>El progreso se consolida al pulsar 'Completar y continuar'. La sección 'Mi curso' en el catálogo muestra siempre la última lección completada.</w:t>
            </w:r>
          </w:p>
        </w:tc>
      </w:tr>
      <w:tr>
        <w:tc>
          <w:tcPr>
            <w:tcW w:type="dxa" w:w="2592"/>
            <w:shd w:fill="FFFFFF"/>
            <w:tcMar>
              <w:top w:w="50" w:type="dxa"/>
              <w:bottom w:w="50" w:type="dxa"/>
              <w:left w:w="80" w:type="dxa"/>
              <w:right w:w="80" w:type="dxa"/>
            </w:tcMar>
          </w:tcPr>
          <w:p>
            <w:r>
              <w:rPr>
                <w:rFonts w:ascii="Arial" w:hAnsi="Arial"/>
                <w:b/>
                <w:color w:val="002752"/>
                <w:sz w:val="17"/>
              </w:rPr>
              <w:t>(Gestor) El sistema no permite 'Guardar y enviar a revisión'</w:t>
            </w:r>
          </w:p>
        </w:tc>
        <w:tc>
          <w:tcPr>
            <w:tcW w:type="dxa" w:w="3168"/>
            <w:shd w:fill="FFFFFF"/>
            <w:tcMar>
              <w:top w:w="50" w:type="dxa"/>
              <w:bottom w:w="50" w:type="dxa"/>
              <w:left w:w="80" w:type="dxa"/>
              <w:right w:w="80" w:type="dxa"/>
            </w:tcMar>
          </w:tcPr>
          <w:p>
            <w:r>
              <w:rPr>
                <w:rFonts w:ascii="Arial" w:hAnsi="Arial"/>
                <w:b w:val="0"/>
                <w:color w:val="333333"/>
                <w:sz w:val="17"/>
              </w:rPr>
              <w:t>Falta adjuntar el archivo de audio, escribir la transcripción, ingresar la fuente o marcar la casilla legal.</w:t>
            </w:r>
          </w:p>
        </w:tc>
        <w:tc>
          <w:tcPr>
            <w:tcW w:type="dxa" w:w="3600"/>
            <w:shd w:fill="FFFFFF"/>
            <w:tcMar>
              <w:top w:w="50" w:type="dxa"/>
              <w:bottom w:w="50" w:type="dxa"/>
              <w:left w:w="80" w:type="dxa"/>
              <w:right w:w="80" w:type="dxa"/>
            </w:tcMar>
          </w:tcPr>
          <w:p>
            <w:r>
              <w:rPr>
                <w:rFonts w:ascii="Arial" w:hAnsi="Arial"/>
                <w:b w:val="0"/>
                <w:color w:val="333333"/>
                <w:sz w:val="17"/>
              </w:rPr>
              <w:t>Verificar que los 4 requisitos obligatorios del borrador estén debidamente diligenciados antes de enviar.</w:t>
            </w:r>
          </w:p>
        </w:tc>
      </w:tr>
      <w:tr>
        <w:tc>
          <w:tcPr>
            <w:tcW w:type="dxa" w:w="2592"/>
            <w:shd w:fill="F7FAFC"/>
            <w:tcMar>
              <w:top w:w="50" w:type="dxa"/>
              <w:bottom w:w="50" w:type="dxa"/>
              <w:left w:w="80" w:type="dxa"/>
              <w:right w:w="80" w:type="dxa"/>
            </w:tcMar>
          </w:tcPr>
          <w:p>
            <w:r>
              <w:rPr>
                <w:rFonts w:ascii="Arial" w:hAnsi="Arial"/>
                <w:b/>
                <w:color w:val="002752"/>
                <w:sz w:val="17"/>
              </w:rPr>
              <w:t>(Gestor) No aparece el botón 'Crear Nueva Versión en Borrador'</w:t>
            </w:r>
          </w:p>
        </w:tc>
        <w:tc>
          <w:tcPr>
            <w:tcW w:type="dxa" w:w="3168"/>
            <w:shd w:fill="F7FAFC"/>
            <w:tcMar>
              <w:top w:w="50" w:type="dxa"/>
              <w:bottom w:w="50" w:type="dxa"/>
              <w:left w:w="80" w:type="dxa"/>
              <w:right w:w="80" w:type="dxa"/>
            </w:tcMar>
          </w:tcPr>
          <w:p>
            <w:r>
              <w:rPr>
                <w:rFonts w:ascii="Arial" w:hAnsi="Arial"/>
                <w:b w:val="0"/>
                <w:color w:val="333333"/>
                <w:sz w:val="17"/>
              </w:rPr>
              <w:t>La lección ya cuenta con una versión en estado BORRADOR o EN_REVISION en trámite.</w:t>
            </w:r>
          </w:p>
        </w:tc>
        <w:tc>
          <w:tcPr>
            <w:tcW w:type="dxa" w:w="3600"/>
            <w:shd w:fill="F7FAFC"/>
            <w:tcMar>
              <w:top w:w="50" w:type="dxa"/>
              <w:bottom w:w="50" w:type="dxa"/>
              <w:left w:w="80" w:type="dxa"/>
              <w:right w:w="80" w:type="dxa"/>
            </w:tcMar>
          </w:tcPr>
          <w:p>
            <w:r>
              <w:rPr>
                <w:rFonts w:ascii="Arial" w:hAnsi="Arial"/>
                <w:b w:val="0"/>
                <w:color w:val="333333"/>
                <w:sz w:val="17"/>
              </w:rPr>
              <w:t>Por regla de integridad editorial, debe esperarse el dictamen del revisor o editar el borrador existente.</w:t>
            </w:r>
          </w:p>
        </w:tc>
      </w:tr>
      <w:tr>
        <w:tc>
          <w:tcPr>
            <w:tcW w:type="dxa" w:w="2592"/>
            <w:shd w:fill="FFFFFF"/>
            <w:tcMar>
              <w:top w:w="50" w:type="dxa"/>
              <w:bottom w:w="50" w:type="dxa"/>
              <w:left w:w="80" w:type="dxa"/>
              <w:right w:w="80" w:type="dxa"/>
            </w:tcMar>
          </w:tcPr>
          <w:p>
            <w:r>
              <w:rPr>
                <w:rFonts w:ascii="Arial" w:hAnsi="Arial"/>
                <w:b/>
                <w:color w:val="002752"/>
                <w:sz w:val="17"/>
              </w:rPr>
              <w:t>(Revisor) El sistema no permite 'Aprobar y Publicar' una versión</w:t>
            </w:r>
          </w:p>
        </w:tc>
        <w:tc>
          <w:tcPr>
            <w:tcW w:type="dxa" w:w="3168"/>
            <w:shd w:fill="FFFFFF"/>
            <w:tcMar>
              <w:top w:w="50" w:type="dxa"/>
              <w:bottom w:w="50" w:type="dxa"/>
              <w:left w:w="80" w:type="dxa"/>
              <w:right w:w="80" w:type="dxa"/>
            </w:tcMar>
          </w:tcPr>
          <w:p>
            <w:r>
              <w:rPr>
                <w:rFonts w:ascii="Arial" w:hAnsi="Arial"/>
                <w:b w:val="0"/>
                <w:color w:val="333333"/>
                <w:sz w:val="17"/>
              </w:rPr>
              <w:t>No se han marcado la totalidad de los 6 criterios del checklist de accesibilidad.</w:t>
            </w:r>
          </w:p>
        </w:tc>
        <w:tc>
          <w:tcPr>
            <w:tcW w:type="dxa" w:w="3600"/>
            <w:shd w:fill="FFFFFF"/>
            <w:tcMar>
              <w:top w:w="50" w:type="dxa"/>
              <w:bottom w:w="50" w:type="dxa"/>
              <w:left w:w="80" w:type="dxa"/>
              <w:right w:w="80" w:type="dxa"/>
            </w:tcMar>
          </w:tcPr>
          <w:p>
            <w:r>
              <w:rPr>
                <w:rFonts w:ascii="Arial" w:hAnsi="Arial"/>
                <w:b w:val="0"/>
                <w:color w:val="333333"/>
                <w:sz w:val="17"/>
              </w:rPr>
              <w:t>Marcar el 100% de los criterios normativos si la versión cumple, o registrar el motivo de no conformidad y presionar 'Rechazar Versión con este Motivo'.</w:t>
            </w:r>
          </w:p>
        </w:tc>
      </w:tr>
    </w:tbl>
    <w:p>
      <w:r>
        <w:br w:type="page"/>
      </w:r>
    </w:p>
    <w:p>
      <w:pPr>
        <w:pStyle w:val="Heading1"/>
      </w:pPr>
      <w:r>
        <w:rPr>
          <w:rFonts w:ascii="Arial" w:hAnsi="Arial"/>
          <w:color w:val="002752"/>
        </w:rPr>
        <w:t>Anexos Técnicos y Operativos</w:t>
      </w:r>
    </w:p>
    <w:p>
      <w:pPr>
        <w:pStyle w:val="Heading2"/>
      </w:pPr>
      <w:r>
        <w:rPr>
          <w:rFonts w:ascii="Arial" w:hAnsi="Arial"/>
          <w:color w:val="002752"/>
          <w:sz w:val="26"/>
        </w:rPr>
        <w:t>Anexo 1: Protocolo de Navegación Accesible por Teclado</w:t>
      </w:r>
    </w:p>
    <w:p>
      <w:pPr>
        <w:spacing w:line="276" w:lineRule="auto" w:after="120"/>
      </w:pPr>
      <w:r>
        <w:t>Para verificar la plataforma con tecnologías de asistencia o sin depender del ratón, se dispone de los siguientes atajos estándar:</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EBF3EE"/>
            <w:tcMar>
              <w:top w:w="60" w:type="dxa"/>
              <w:bottom w:w="60" w:type="dxa"/>
              <w:left w:w="100" w:type="dxa"/>
              <w:right w:w="100" w:type="dxa"/>
            </w:tcMar>
          </w:tcPr>
          <w:p>
            <w:r>
              <w:rPr>
                <w:rFonts w:ascii="Arial" w:hAnsi="Arial"/>
                <w:b/>
                <w:color w:val="155724"/>
                <w:sz w:val="19"/>
              </w:rPr>
              <w:t>Tecla / Atajo</w:t>
            </w:r>
          </w:p>
        </w:tc>
        <w:tc>
          <w:tcPr>
            <w:tcW w:type="dxa" w:w="4608"/>
            <w:shd w:fill="EBF3EE"/>
            <w:tcMar>
              <w:top w:w="60" w:type="dxa"/>
              <w:bottom w:w="60" w:type="dxa"/>
              <w:left w:w="100" w:type="dxa"/>
              <w:right w:w="100" w:type="dxa"/>
            </w:tcMar>
          </w:tcPr>
          <w:p>
            <w:r>
              <w:rPr>
                <w:rFonts w:ascii="Arial" w:hAnsi="Arial"/>
                <w:b/>
                <w:color w:val="155724"/>
                <w:sz w:val="19"/>
              </w:rPr>
              <w:t>Función en la Plataforma EcoAula</w:t>
            </w:r>
          </w:p>
        </w:tc>
        <w:tc>
          <w:tcPr>
            <w:tcW w:type="dxa" w:w="2160"/>
            <w:shd w:fill="EBF3EE"/>
            <w:tcMar>
              <w:top w:w="60" w:type="dxa"/>
              <w:bottom w:w="60" w:type="dxa"/>
              <w:left w:w="100" w:type="dxa"/>
              <w:right w:w="100" w:type="dxa"/>
            </w:tcMar>
          </w:tcPr>
          <w:p>
            <w:r>
              <w:rPr>
                <w:rFonts w:ascii="Arial" w:hAnsi="Arial"/>
                <w:b/>
                <w:color w:val="155724"/>
                <w:sz w:val="19"/>
              </w:rPr>
              <w:t>Criterio WCAG</w:t>
            </w:r>
          </w:p>
        </w:tc>
      </w:tr>
      <w:tr>
        <w:tc>
          <w:tcPr>
            <w:tcW w:type="dxa" w:w="2592"/>
            <w:shd w:fill="F7FAFC"/>
            <w:tcMar>
              <w:top w:w="60" w:type="dxa"/>
              <w:bottom w:w="60" w:type="dxa"/>
              <w:left w:w="100" w:type="dxa"/>
              <w:right w:w="100" w:type="dxa"/>
            </w:tcMar>
          </w:tcPr>
          <w:p>
            <w:r>
              <w:rPr>
                <w:rFonts w:ascii="Arial" w:hAnsi="Arial"/>
                <w:b/>
                <w:color w:val="002752"/>
                <w:sz w:val="18"/>
              </w:rPr>
              <w:t>Tab</w:t>
            </w:r>
          </w:p>
        </w:tc>
        <w:tc>
          <w:tcPr>
            <w:tcW w:type="dxa" w:w="4608"/>
            <w:shd w:fill="F7FAFC"/>
            <w:tcMar>
              <w:top w:w="60" w:type="dxa"/>
              <w:bottom w:w="60" w:type="dxa"/>
              <w:left w:w="100" w:type="dxa"/>
              <w:right w:w="100" w:type="dxa"/>
            </w:tcMar>
          </w:tcPr>
          <w:p>
            <w:r>
              <w:rPr>
                <w:rFonts w:ascii="Arial" w:hAnsi="Arial"/>
                <w:b w:val="0"/>
                <w:color w:val="333333"/>
                <w:sz w:val="18"/>
              </w:rPr>
              <w:t>Desplaza el foco al siguiente control interactivo (enlace, botón, campo).</w:t>
            </w:r>
          </w:p>
        </w:tc>
        <w:tc>
          <w:tcPr>
            <w:tcW w:type="dxa" w:w="2160"/>
            <w:shd w:fill="F7FAFC"/>
            <w:tcMar>
              <w:top w:w="60" w:type="dxa"/>
              <w:bottom w:w="60" w:type="dxa"/>
              <w:left w:w="100" w:type="dxa"/>
              <w:right w:w="100" w:type="dxa"/>
            </w:tcMar>
          </w:tcPr>
          <w:p>
            <w:r>
              <w:rPr>
                <w:rFonts w:ascii="Arial" w:hAnsi="Arial"/>
                <w:b w:val="0"/>
                <w:color w:val="333333"/>
                <w:sz w:val="18"/>
              </w:rPr>
              <w:t>2.1.1 (Teclado)</w:t>
            </w:r>
          </w:p>
        </w:tc>
      </w:tr>
      <w:tr>
        <w:tc>
          <w:tcPr>
            <w:tcW w:type="dxa" w:w="2592"/>
            <w:shd w:fill="FFFFFF"/>
            <w:tcMar>
              <w:top w:w="60" w:type="dxa"/>
              <w:bottom w:w="60" w:type="dxa"/>
              <w:left w:w="100" w:type="dxa"/>
              <w:right w:w="100" w:type="dxa"/>
            </w:tcMar>
          </w:tcPr>
          <w:p>
            <w:r>
              <w:rPr>
                <w:rFonts w:ascii="Arial" w:hAnsi="Arial"/>
                <w:b/>
                <w:color w:val="002752"/>
                <w:sz w:val="18"/>
              </w:rPr>
              <w:t>Shift + Tab</w:t>
            </w:r>
          </w:p>
        </w:tc>
        <w:tc>
          <w:tcPr>
            <w:tcW w:type="dxa" w:w="4608"/>
            <w:shd w:fill="FFFFFF"/>
            <w:tcMar>
              <w:top w:w="60" w:type="dxa"/>
              <w:bottom w:w="60" w:type="dxa"/>
              <w:left w:w="100" w:type="dxa"/>
              <w:right w:w="100" w:type="dxa"/>
            </w:tcMar>
          </w:tcPr>
          <w:p>
            <w:r>
              <w:rPr>
                <w:rFonts w:ascii="Arial" w:hAnsi="Arial"/>
                <w:b w:val="0"/>
                <w:color w:val="333333"/>
                <w:sz w:val="18"/>
              </w:rPr>
              <w:t>Retrocede el foco al control interactivo anterior.</w:t>
            </w:r>
          </w:p>
        </w:tc>
        <w:tc>
          <w:tcPr>
            <w:tcW w:type="dxa" w:w="2160"/>
            <w:shd w:fill="FFFFFF"/>
            <w:tcMar>
              <w:top w:w="60" w:type="dxa"/>
              <w:bottom w:w="60" w:type="dxa"/>
              <w:left w:w="100" w:type="dxa"/>
              <w:right w:w="100" w:type="dxa"/>
            </w:tcMar>
          </w:tcPr>
          <w:p>
            <w:r>
              <w:rPr>
                <w:rFonts w:ascii="Arial" w:hAnsi="Arial"/>
                <w:b w:val="0"/>
                <w:color w:val="333333"/>
                <w:sz w:val="18"/>
              </w:rPr>
              <w:t>2.1.1 (Teclado)</w:t>
            </w:r>
          </w:p>
        </w:tc>
      </w:tr>
      <w:tr>
        <w:tc>
          <w:tcPr>
            <w:tcW w:type="dxa" w:w="2592"/>
            <w:shd w:fill="F7FAFC"/>
            <w:tcMar>
              <w:top w:w="60" w:type="dxa"/>
              <w:bottom w:w="60" w:type="dxa"/>
              <w:left w:w="100" w:type="dxa"/>
              <w:right w:w="100" w:type="dxa"/>
            </w:tcMar>
          </w:tcPr>
          <w:p>
            <w:r>
              <w:rPr>
                <w:rFonts w:ascii="Arial" w:hAnsi="Arial"/>
                <w:b/>
                <w:color w:val="002752"/>
                <w:sz w:val="18"/>
              </w:rPr>
              <w:t>Enter</w:t>
            </w:r>
          </w:p>
        </w:tc>
        <w:tc>
          <w:tcPr>
            <w:tcW w:type="dxa" w:w="4608"/>
            <w:shd w:fill="F7FAFC"/>
            <w:tcMar>
              <w:top w:w="60" w:type="dxa"/>
              <w:bottom w:w="60" w:type="dxa"/>
              <w:left w:w="100" w:type="dxa"/>
              <w:right w:w="100" w:type="dxa"/>
            </w:tcMar>
          </w:tcPr>
          <w:p>
            <w:r>
              <w:rPr>
                <w:rFonts w:ascii="Arial" w:hAnsi="Arial"/>
                <w:b w:val="0"/>
                <w:color w:val="333333"/>
                <w:sz w:val="18"/>
              </w:rPr>
              <w:t>Activa enlaces, botones y envía formularios validados.</w:t>
            </w:r>
          </w:p>
        </w:tc>
        <w:tc>
          <w:tcPr>
            <w:tcW w:type="dxa" w:w="2160"/>
            <w:shd w:fill="F7FAFC"/>
            <w:tcMar>
              <w:top w:w="60" w:type="dxa"/>
              <w:bottom w:w="60" w:type="dxa"/>
              <w:left w:w="100" w:type="dxa"/>
              <w:right w:w="100" w:type="dxa"/>
            </w:tcMar>
          </w:tcPr>
          <w:p>
            <w:r>
              <w:rPr>
                <w:rFonts w:ascii="Arial" w:hAnsi="Arial"/>
                <w:b w:val="0"/>
                <w:color w:val="333333"/>
                <w:sz w:val="18"/>
              </w:rPr>
              <w:t>2.1.1 (Teclado)</w:t>
            </w:r>
          </w:p>
        </w:tc>
      </w:tr>
      <w:tr>
        <w:tc>
          <w:tcPr>
            <w:tcW w:type="dxa" w:w="2592"/>
            <w:shd w:fill="FFFFFF"/>
            <w:tcMar>
              <w:top w:w="60" w:type="dxa"/>
              <w:bottom w:w="60" w:type="dxa"/>
              <w:left w:w="100" w:type="dxa"/>
              <w:right w:w="100" w:type="dxa"/>
            </w:tcMar>
          </w:tcPr>
          <w:p>
            <w:r>
              <w:rPr>
                <w:rFonts w:ascii="Arial" w:hAnsi="Arial"/>
                <w:b/>
                <w:color w:val="002752"/>
                <w:sz w:val="18"/>
              </w:rPr>
              <w:t>Espacio</w:t>
            </w:r>
          </w:p>
        </w:tc>
        <w:tc>
          <w:tcPr>
            <w:tcW w:type="dxa" w:w="4608"/>
            <w:shd w:fill="FFFFFF"/>
            <w:tcMar>
              <w:top w:w="60" w:type="dxa"/>
              <w:bottom w:w="60" w:type="dxa"/>
              <w:left w:w="100" w:type="dxa"/>
              <w:right w:w="100" w:type="dxa"/>
            </w:tcMar>
          </w:tcPr>
          <w:p>
            <w:r>
              <w:rPr>
                <w:rFonts w:ascii="Arial" w:hAnsi="Arial"/>
                <w:b w:val="0"/>
                <w:color w:val="333333"/>
                <w:sz w:val="18"/>
              </w:rPr>
              <w:t>Alterna casillas de verificación (checkboxes) y pausa/reanuda el audio nativo.</w:t>
            </w:r>
          </w:p>
        </w:tc>
        <w:tc>
          <w:tcPr>
            <w:tcW w:type="dxa" w:w="2160"/>
            <w:shd w:fill="FFFFFF"/>
            <w:tcMar>
              <w:top w:w="60" w:type="dxa"/>
              <w:bottom w:w="60" w:type="dxa"/>
              <w:left w:w="100" w:type="dxa"/>
              <w:right w:w="100" w:type="dxa"/>
            </w:tcMar>
          </w:tcPr>
          <w:p>
            <w:r>
              <w:rPr>
                <w:rFonts w:ascii="Arial" w:hAnsi="Arial"/>
                <w:b w:val="0"/>
                <w:color w:val="333333"/>
                <w:sz w:val="18"/>
              </w:rPr>
              <w:t>ADR-05</w:t>
            </w:r>
          </w:p>
        </w:tc>
      </w:tr>
      <w:tr>
        <w:tc>
          <w:tcPr>
            <w:tcW w:type="dxa" w:w="2592"/>
            <w:shd w:fill="F7FAFC"/>
            <w:tcMar>
              <w:top w:w="60" w:type="dxa"/>
              <w:bottom w:w="60" w:type="dxa"/>
              <w:left w:w="100" w:type="dxa"/>
              <w:right w:w="100" w:type="dxa"/>
            </w:tcMar>
          </w:tcPr>
          <w:p>
            <w:r>
              <w:rPr>
                <w:rFonts w:ascii="Arial" w:hAnsi="Arial"/>
                <w:b/>
                <w:color w:val="002752"/>
                <w:sz w:val="18"/>
              </w:rPr>
              <w:t>Flechas (↑ ↓ ← →)</w:t>
            </w:r>
          </w:p>
        </w:tc>
        <w:tc>
          <w:tcPr>
            <w:tcW w:type="dxa" w:w="4608"/>
            <w:shd w:fill="F7FAFC"/>
            <w:tcMar>
              <w:top w:w="60" w:type="dxa"/>
              <w:bottom w:w="60" w:type="dxa"/>
              <w:left w:w="100" w:type="dxa"/>
              <w:right w:w="100" w:type="dxa"/>
            </w:tcMar>
          </w:tcPr>
          <w:p>
            <w:r>
              <w:rPr>
                <w:rFonts w:ascii="Arial" w:hAnsi="Arial"/>
                <w:b w:val="0"/>
                <w:color w:val="333333"/>
                <w:sz w:val="18"/>
              </w:rPr>
              <w:t>Selecciona opciones de botones de radio y adelanta/retrasa segundos en el reproductor.</w:t>
            </w:r>
          </w:p>
        </w:tc>
        <w:tc>
          <w:tcPr>
            <w:tcW w:type="dxa" w:w="2160"/>
            <w:shd w:fill="F7FAFC"/>
            <w:tcMar>
              <w:top w:w="60" w:type="dxa"/>
              <w:bottom w:w="60" w:type="dxa"/>
              <w:left w:w="100" w:type="dxa"/>
              <w:right w:w="100" w:type="dxa"/>
            </w:tcMar>
          </w:tcPr>
          <w:p>
            <w:r>
              <w:rPr>
                <w:rFonts w:ascii="Arial" w:hAnsi="Arial"/>
                <w:b w:val="0"/>
                <w:color w:val="333333"/>
                <w:sz w:val="18"/>
              </w:rPr>
              <w:t>ADR-05</w:t>
            </w:r>
          </w:p>
        </w:tc>
      </w:tr>
      <w:tr>
        <w:tc>
          <w:tcPr>
            <w:tcW w:type="dxa" w:w="2592"/>
            <w:shd w:fill="FFFFFF"/>
            <w:tcMar>
              <w:top w:w="60" w:type="dxa"/>
              <w:bottom w:w="60" w:type="dxa"/>
              <w:left w:w="100" w:type="dxa"/>
              <w:right w:w="100" w:type="dxa"/>
            </w:tcMar>
          </w:tcPr>
          <w:p>
            <w:r>
              <w:rPr>
                <w:rFonts w:ascii="Arial" w:hAnsi="Arial"/>
                <w:b/>
                <w:color w:val="002752"/>
                <w:sz w:val="18"/>
              </w:rPr>
              <w:t>H (NVDA / JAWS)</w:t>
            </w:r>
          </w:p>
        </w:tc>
        <w:tc>
          <w:tcPr>
            <w:tcW w:type="dxa" w:w="4608"/>
            <w:shd w:fill="FFFFFF"/>
            <w:tcMar>
              <w:top w:w="60" w:type="dxa"/>
              <w:bottom w:w="60" w:type="dxa"/>
              <w:left w:w="100" w:type="dxa"/>
              <w:right w:w="100" w:type="dxa"/>
            </w:tcMar>
          </w:tcPr>
          <w:p>
            <w:r>
              <w:rPr>
                <w:rFonts w:ascii="Arial" w:hAnsi="Arial"/>
                <w:b w:val="0"/>
                <w:color w:val="333333"/>
                <w:sz w:val="18"/>
              </w:rPr>
              <w:t>Salta secuencialmente entre encabezados (h1, h2, h3) para navegación rápida.</w:t>
            </w:r>
          </w:p>
        </w:tc>
        <w:tc>
          <w:tcPr>
            <w:tcW w:type="dxa" w:w="2160"/>
            <w:shd w:fill="FFFFFF"/>
            <w:tcMar>
              <w:top w:w="60" w:type="dxa"/>
              <w:bottom w:w="60" w:type="dxa"/>
              <w:left w:w="100" w:type="dxa"/>
              <w:right w:w="100" w:type="dxa"/>
            </w:tcMar>
          </w:tcPr>
          <w:p>
            <w:r>
              <w:rPr>
                <w:rFonts w:ascii="Arial" w:hAnsi="Arial"/>
                <w:b w:val="0"/>
                <w:color w:val="333333"/>
                <w:sz w:val="18"/>
              </w:rPr>
              <w:t>2.4.6 (Encabezados)</w:t>
            </w:r>
          </w:p>
        </w:tc>
      </w:tr>
      <w:tr>
        <w:tc>
          <w:tcPr>
            <w:tcW w:type="dxa" w:w="2592"/>
            <w:shd w:fill="F7FAFC"/>
            <w:tcMar>
              <w:top w:w="60" w:type="dxa"/>
              <w:bottom w:w="60" w:type="dxa"/>
              <w:left w:w="100" w:type="dxa"/>
              <w:right w:w="100" w:type="dxa"/>
            </w:tcMar>
          </w:tcPr>
          <w:p>
            <w:r>
              <w:rPr>
                <w:rFonts w:ascii="Arial" w:hAnsi="Arial"/>
                <w:b/>
                <w:color w:val="002752"/>
                <w:sz w:val="18"/>
              </w:rPr>
              <w:t>Tab al cargar página</w:t>
            </w:r>
          </w:p>
        </w:tc>
        <w:tc>
          <w:tcPr>
            <w:tcW w:type="dxa" w:w="4608"/>
            <w:shd w:fill="F7FAFC"/>
            <w:tcMar>
              <w:top w:w="60" w:type="dxa"/>
              <w:bottom w:w="60" w:type="dxa"/>
              <w:left w:w="100" w:type="dxa"/>
              <w:right w:w="100" w:type="dxa"/>
            </w:tcMar>
          </w:tcPr>
          <w:p>
            <w:r>
              <w:rPr>
                <w:rFonts w:ascii="Arial" w:hAnsi="Arial"/>
                <w:b w:val="0"/>
                <w:color w:val="333333"/>
                <w:sz w:val="18"/>
              </w:rPr>
              <w:t>Revela el enlace visible de acceso rápido: 'Saltar al contenido principal'.</w:t>
            </w:r>
          </w:p>
        </w:tc>
        <w:tc>
          <w:tcPr>
            <w:tcW w:type="dxa" w:w="2160"/>
            <w:shd w:fill="F7FAFC"/>
            <w:tcMar>
              <w:top w:w="60" w:type="dxa"/>
              <w:bottom w:w="60" w:type="dxa"/>
              <w:left w:w="100" w:type="dxa"/>
              <w:right w:w="100" w:type="dxa"/>
            </w:tcMar>
          </w:tcPr>
          <w:p>
            <w:r>
              <w:rPr>
                <w:rFonts w:ascii="Arial" w:hAnsi="Arial"/>
                <w:b w:val="0"/>
                <w:color w:val="333333"/>
                <w:sz w:val="18"/>
              </w:rPr>
              <w:t>2.4.1 (Evitar bloques)</w:t>
            </w:r>
          </w:p>
        </w:tc>
      </w:tr>
    </w:tbl>
    <w:p>
      <w:pPr>
        <w:pStyle w:val="Heading2"/>
      </w:pPr>
      <w:r>
        <w:rPr>
          <w:rFonts w:ascii="Arial" w:hAnsi="Arial"/>
          <w:color w:val="002752"/>
          <w:sz w:val="26"/>
        </w:rPr>
        <w:t>Anexo 2: Cuentas del Ambiente de Demostración</w:t>
      </w:r>
    </w:p>
    <w:p>
      <w:pPr>
        <w:spacing w:line="276" w:lineRule="auto" w:after="120"/>
      </w:pPr>
      <w:r>
        <w:t>A continuación se relacionan las cuentas demo preconfiguradas para pruebas y auditoría funcional de los roles del sistema: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EBF3EE"/>
            <w:tcMar>
              <w:top w:w="60" w:type="dxa"/>
              <w:bottom w:w="60" w:type="dxa"/>
              <w:left w:w="80" w:type="dxa"/>
              <w:right w:w="80" w:type="dxa"/>
            </w:tcMar>
          </w:tcPr>
          <w:p>
            <w:r>
              <w:rPr>
                <w:rFonts w:ascii="Arial" w:hAnsi="Arial"/>
                <w:b/>
                <w:color w:val="155724"/>
                <w:sz w:val="19"/>
              </w:rPr>
              <w:t>Rol</w:t>
            </w:r>
          </w:p>
        </w:tc>
        <w:tc>
          <w:tcPr>
            <w:tcW w:type="dxa" w:w="2592"/>
            <w:shd w:fill="EBF3EE"/>
            <w:tcMar>
              <w:top w:w="60" w:type="dxa"/>
              <w:bottom w:w="60" w:type="dxa"/>
              <w:left w:w="80" w:type="dxa"/>
              <w:right w:w="80" w:type="dxa"/>
            </w:tcMar>
          </w:tcPr>
          <w:p>
            <w:r>
              <w:rPr>
                <w:rFonts w:ascii="Arial" w:hAnsi="Arial"/>
                <w:b/>
                <w:color w:val="155724"/>
                <w:sz w:val="19"/>
              </w:rPr>
              <w:t>Correo Institucional</w:t>
            </w:r>
          </w:p>
        </w:tc>
        <w:tc>
          <w:tcPr>
            <w:tcW w:type="dxa" w:w="2304"/>
            <w:shd w:fill="EBF3EE"/>
            <w:tcMar>
              <w:top w:w="60" w:type="dxa"/>
              <w:bottom w:w="60" w:type="dxa"/>
              <w:left w:w="80" w:type="dxa"/>
              <w:right w:w="80" w:type="dxa"/>
            </w:tcMar>
          </w:tcPr>
          <w:p>
            <w:r>
              <w:rPr>
                <w:rFonts w:ascii="Arial" w:hAnsi="Arial"/>
                <w:b/>
                <w:color w:val="155724"/>
                <w:sz w:val="19"/>
              </w:rPr>
              <w:t>Contraseña (Dev / Local)</w:t>
            </w:r>
          </w:p>
        </w:tc>
        <w:tc>
          <w:tcPr>
            <w:tcW w:type="dxa" w:w="2160"/>
            <w:shd w:fill="EBF3EE"/>
            <w:tcMar>
              <w:top w:w="60" w:type="dxa"/>
              <w:bottom w:w="60" w:type="dxa"/>
              <w:left w:w="80" w:type="dxa"/>
              <w:right w:w="80" w:type="dxa"/>
            </w:tcMar>
          </w:tcPr>
          <w:p>
            <w:r>
              <w:rPr>
                <w:rFonts w:ascii="Arial" w:hAnsi="Arial"/>
                <w:b/>
                <w:color w:val="155724"/>
                <w:sz w:val="19"/>
              </w:rPr>
              <w:t>Al iniciar sesión llega a</w:t>
            </w:r>
          </w:p>
        </w:tc>
      </w:tr>
      <w:tr>
        <w:tc>
          <w:tcPr>
            <w:tcW w:type="dxa" w:w="2304"/>
            <w:shd w:fill="F7FAFC"/>
            <w:tcMar>
              <w:top w:w="60" w:type="dxa"/>
              <w:bottom w:w="60" w:type="dxa"/>
              <w:left w:w="80" w:type="dxa"/>
              <w:right w:w="80" w:type="dxa"/>
            </w:tcMar>
          </w:tcPr>
          <w:p>
            <w:r>
              <w:rPr>
                <w:rFonts w:ascii="Arial" w:hAnsi="Arial"/>
                <w:b/>
                <w:color w:val="002752"/>
                <w:sz w:val="17"/>
              </w:rPr>
              <w:t>Aprendiz</w:t>
            </w:r>
          </w:p>
        </w:tc>
        <w:tc>
          <w:tcPr>
            <w:tcW w:type="dxa" w:w="2592"/>
            <w:shd w:fill="F7FAFC"/>
            <w:tcMar>
              <w:top w:w="60" w:type="dxa"/>
              <w:bottom w:w="60" w:type="dxa"/>
              <w:left w:w="80" w:type="dxa"/>
              <w:right w:w="80" w:type="dxa"/>
            </w:tcMar>
          </w:tcPr>
          <w:p>
            <w:r>
              <w:rPr>
                <w:rFonts w:ascii="Arial" w:hAnsi="Arial"/>
                <w:b w:val="0"/>
                <w:color w:val="333333"/>
                <w:sz w:val="17"/>
              </w:rPr>
              <w:t>aprendiz@ecoaula.local</w:t>
            </w:r>
          </w:p>
        </w:tc>
        <w:tc>
          <w:tcPr>
            <w:tcW w:type="dxa" w:w="2304"/>
            <w:shd w:fill="F7FAFC"/>
            <w:tcMar>
              <w:top w:w="60" w:type="dxa"/>
              <w:bottom w:w="60" w:type="dxa"/>
              <w:left w:w="80" w:type="dxa"/>
              <w:right w:w="80" w:type="dxa"/>
            </w:tcMar>
          </w:tcPr>
          <w:p>
            <w:r>
              <w:rPr>
                <w:rFonts w:ascii="Arial" w:hAnsi="Arial"/>
                <w:b w:val="0"/>
                <w:color w:val="333333"/>
                <w:sz w:val="17"/>
              </w:rPr>
              <w:t>EcoAula2026!</w:t>
            </w:r>
          </w:p>
        </w:tc>
        <w:tc>
          <w:tcPr>
            <w:tcW w:type="dxa" w:w="2160"/>
            <w:shd w:fill="F7FAFC"/>
            <w:tcMar>
              <w:top w:w="60" w:type="dxa"/>
              <w:bottom w:w="60" w:type="dxa"/>
              <w:left w:w="80" w:type="dxa"/>
              <w:right w:w="80" w:type="dxa"/>
            </w:tcMar>
          </w:tcPr>
          <w:p>
            <w:r>
              <w:rPr>
                <w:rFonts w:ascii="Arial" w:hAnsi="Arial"/>
                <w:b w:val="0"/>
                <w:color w:val="333333"/>
                <w:sz w:val="17"/>
              </w:rPr>
              <w:t>/cursos (Catálogo)</w:t>
            </w:r>
          </w:p>
        </w:tc>
      </w:tr>
      <w:tr>
        <w:tc>
          <w:tcPr>
            <w:tcW w:type="dxa" w:w="2304"/>
            <w:shd w:fill="FFFFFF"/>
            <w:tcMar>
              <w:top w:w="60" w:type="dxa"/>
              <w:bottom w:w="60" w:type="dxa"/>
              <w:left w:w="80" w:type="dxa"/>
              <w:right w:w="80" w:type="dxa"/>
            </w:tcMar>
          </w:tcPr>
          <w:p>
            <w:r>
              <w:rPr>
                <w:rFonts w:ascii="Arial" w:hAnsi="Arial"/>
                <w:b/>
                <w:color w:val="002752"/>
                <w:sz w:val="17"/>
              </w:rPr>
              <w:t>Gestor de contenido</w:t>
            </w:r>
          </w:p>
        </w:tc>
        <w:tc>
          <w:tcPr>
            <w:tcW w:type="dxa" w:w="2592"/>
            <w:shd w:fill="FFFFFF"/>
            <w:tcMar>
              <w:top w:w="60" w:type="dxa"/>
              <w:bottom w:w="60" w:type="dxa"/>
              <w:left w:w="80" w:type="dxa"/>
              <w:right w:w="80" w:type="dxa"/>
            </w:tcMar>
          </w:tcPr>
          <w:p>
            <w:r>
              <w:rPr>
                <w:rFonts w:ascii="Arial" w:hAnsi="Arial"/>
                <w:b w:val="0"/>
                <w:color w:val="333333"/>
                <w:sz w:val="17"/>
              </w:rPr>
              <w:t>gestor@ecoaula.local</w:t>
            </w:r>
          </w:p>
        </w:tc>
        <w:tc>
          <w:tcPr>
            <w:tcW w:type="dxa" w:w="2304"/>
            <w:shd w:fill="FFFFFF"/>
            <w:tcMar>
              <w:top w:w="60" w:type="dxa"/>
              <w:bottom w:w="60" w:type="dxa"/>
              <w:left w:w="80" w:type="dxa"/>
              <w:right w:w="80" w:type="dxa"/>
            </w:tcMar>
          </w:tcPr>
          <w:p>
            <w:r>
              <w:rPr>
                <w:rFonts w:ascii="Arial" w:hAnsi="Arial"/>
                <w:b w:val="0"/>
                <w:color w:val="333333"/>
                <w:sz w:val="17"/>
              </w:rPr>
              <w:t>GestorEcoAula2026!</w:t>
            </w:r>
          </w:p>
        </w:tc>
        <w:tc>
          <w:tcPr>
            <w:tcW w:type="dxa" w:w="2160"/>
            <w:shd w:fill="FFFFFF"/>
            <w:tcMar>
              <w:top w:w="60" w:type="dxa"/>
              <w:bottom w:w="60" w:type="dxa"/>
              <w:left w:w="80" w:type="dxa"/>
              <w:right w:w="80" w:type="dxa"/>
            </w:tcMar>
          </w:tcPr>
          <w:p>
            <w:r>
              <w:rPr>
                <w:rFonts w:ascii="Arial" w:hAnsi="Arial"/>
                <w:b w:val="0"/>
                <w:color w:val="333333"/>
                <w:sz w:val="17"/>
              </w:rPr>
              <w:t>/gestor/cursos (Panel)</w:t>
            </w:r>
          </w:p>
        </w:tc>
      </w:tr>
      <w:tr>
        <w:tc>
          <w:tcPr>
            <w:tcW w:type="dxa" w:w="2304"/>
            <w:shd w:fill="F7FAFC"/>
            <w:tcMar>
              <w:top w:w="60" w:type="dxa"/>
              <w:bottom w:w="60" w:type="dxa"/>
              <w:left w:w="80" w:type="dxa"/>
              <w:right w:w="80" w:type="dxa"/>
            </w:tcMar>
          </w:tcPr>
          <w:p>
            <w:r>
              <w:rPr>
                <w:rFonts w:ascii="Arial" w:hAnsi="Arial"/>
                <w:b/>
                <w:color w:val="002752"/>
                <w:sz w:val="17"/>
              </w:rPr>
              <w:t>Revisor de accesibilidad</w:t>
            </w:r>
          </w:p>
        </w:tc>
        <w:tc>
          <w:tcPr>
            <w:tcW w:type="dxa" w:w="2592"/>
            <w:shd w:fill="F7FAFC"/>
            <w:tcMar>
              <w:top w:w="60" w:type="dxa"/>
              <w:bottom w:w="60" w:type="dxa"/>
              <w:left w:w="80" w:type="dxa"/>
              <w:right w:w="80" w:type="dxa"/>
            </w:tcMar>
          </w:tcPr>
          <w:p>
            <w:r>
              <w:rPr>
                <w:rFonts w:ascii="Arial" w:hAnsi="Arial"/>
                <w:b w:val="0"/>
                <w:color w:val="333333"/>
                <w:sz w:val="17"/>
              </w:rPr>
              <w:t>revisor@ecoaula.local</w:t>
            </w:r>
          </w:p>
        </w:tc>
        <w:tc>
          <w:tcPr>
            <w:tcW w:type="dxa" w:w="2304"/>
            <w:shd w:fill="F7FAFC"/>
            <w:tcMar>
              <w:top w:w="60" w:type="dxa"/>
              <w:bottom w:w="60" w:type="dxa"/>
              <w:left w:w="80" w:type="dxa"/>
              <w:right w:w="80" w:type="dxa"/>
            </w:tcMar>
          </w:tcPr>
          <w:p>
            <w:r>
              <w:rPr>
                <w:rFonts w:ascii="Arial" w:hAnsi="Arial"/>
                <w:b w:val="0"/>
                <w:color w:val="333333"/>
                <w:sz w:val="17"/>
              </w:rPr>
              <w:t>RevisorEcoAula2026!</w:t>
            </w:r>
          </w:p>
        </w:tc>
        <w:tc>
          <w:tcPr>
            <w:tcW w:type="dxa" w:w="2160"/>
            <w:shd w:fill="F7FAFC"/>
            <w:tcMar>
              <w:top w:w="60" w:type="dxa"/>
              <w:bottom w:w="60" w:type="dxa"/>
              <w:left w:w="80" w:type="dxa"/>
              <w:right w:w="80" w:type="dxa"/>
            </w:tcMar>
          </w:tcPr>
          <w:p>
            <w:r>
              <w:rPr>
                <w:rFonts w:ascii="Arial" w:hAnsi="Arial"/>
                <w:b w:val="0"/>
                <w:color w:val="333333"/>
                <w:sz w:val="17"/>
              </w:rPr>
              <w:t>/revisor/cola (Bandeja)</w:t>
            </w:r>
          </w:p>
        </w:tc>
      </w:tr>
      <w:tr>
        <w:tc>
          <w:tcPr>
            <w:tcW w:type="dxa" w:w="2304"/>
            <w:shd w:fill="FFFFFF"/>
            <w:tcMar>
              <w:top w:w="60" w:type="dxa"/>
              <w:bottom w:w="60" w:type="dxa"/>
              <w:left w:w="80" w:type="dxa"/>
              <w:right w:w="80" w:type="dxa"/>
            </w:tcMar>
          </w:tcPr>
          <w:p>
            <w:r>
              <w:rPr>
                <w:rFonts w:ascii="Arial" w:hAnsi="Arial"/>
                <w:b/>
                <w:color w:val="002752"/>
                <w:sz w:val="17"/>
              </w:rPr>
              <w:t>Coordinación de matrícula</w:t>
            </w:r>
          </w:p>
        </w:tc>
        <w:tc>
          <w:tcPr>
            <w:tcW w:type="dxa" w:w="2592"/>
            <w:shd w:fill="FFFFFF"/>
            <w:tcMar>
              <w:top w:w="60" w:type="dxa"/>
              <w:bottom w:w="60" w:type="dxa"/>
              <w:left w:w="80" w:type="dxa"/>
              <w:right w:w="80" w:type="dxa"/>
            </w:tcMar>
          </w:tcPr>
          <w:p>
            <w:r>
              <w:rPr>
                <w:rFonts w:ascii="Arial" w:hAnsi="Arial"/>
                <w:b w:val="0"/>
                <w:color w:val="333333"/>
                <w:sz w:val="17"/>
              </w:rPr>
              <w:t>coordinador@ecoaula.local</w:t>
            </w:r>
          </w:p>
        </w:tc>
        <w:tc>
          <w:tcPr>
            <w:tcW w:type="dxa" w:w="2304"/>
            <w:shd w:fill="FFFFFF"/>
            <w:tcMar>
              <w:top w:w="60" w:type="dxa"/>
              <w:bottom w:w="60" w:type="dxa"/>
              <w:left w:w="80" w:type="dxa"/>
              <w:right w:w="80" w:type="dxa"/>
            </w:tcMar>
          </w:tcPr>
          <w:p>
            <w:r>
              <w:rPr>
                <w:rFonts w:ascii="Arial" w:hAnsi="Arial"/>
                <w:b w:val="0"/>
                <w:color w:val="333333"/>
                <w:sz w:val="17"/>
              </w:rPr>
              <w:t>CoordinadorEcoAula2026!</w:t>
            </w:r>
          </w:p>
        </w:tc>
        <w:tc>
          <w:tcPr>
            <w:tcW w:type="dxa" w:w="2160"/>
            <w:shd w:fill="FFFFFF"/>
            <w:tcMar>
              <w:top w:w="60" w:type="dxa"/>
              <w:bottom w:w="60" w:type="dxa"/>
              <w:left w:w="80" w:type="dxa"/>
              <w:right w:w="80" w:type="dxa"/>
            </w:tcMar>
          </w:tcPr>
          <w:p>
            <w:r>
              <w:rPr>
                <w:rFonts w:ascii="Arial" w:hAnsi="Arial"/>
                <w:b w:val="0"/>
                <w:color w:val="333333"/>
                <w:sz w:val="17"/>
              </w:rPr>
              <w:t>/reportes-barrera (Incidencias)</w:t>
            </w:r>
          </w:p>
        </w:tc>
      </w:tr>
    </w:tbl>
    <w:p>
      <w:pPr>
        <w:spacing w:line="276" w:lineRule="auto" w:before="120" w:after="240"/>
      </w:pPr>
      <w:r>
        <w:rPr>
          <w:rFonts w:ascii="Arial" w:hAnsi="Arial"/>
          <w:b/>
          <w:color w:val="333333"/>
          <w:sz w:val="17"/>
        </w:rPr>
        <w:t xml:space="preserve">Nota de Seguridad: </w:t>
      </w:r>
      <w:r>
        <w:rPr>
          <w:rFonts w:ascii="Arial" w:hAnsi="Arial"/>
          <w:i/>
          <w:color w:val="333333"/>
          <w:sz w:val="17"/>
        </w:rPr>
        <w:t>Las contraseñas de la tabla corresponden exclusivamente a los perfiles de desarrollo y pruebas (dev y dev-h2). En el entorno de producción cloud (AWS Lightsail), por directiva de hardening de seguridad (DataInitializer.java), las credenciales se administran de manera aislada mediante variables de entorno seguras en el servidor.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