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:type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(type page-size npages)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heap-free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4445</wp:posOffset>
                </wp:positionH>
                <wp:positionV relativeFrom="paragraph">
                  <wp:posOffset>-5080</wp:posOffset>
                </wp:positionV>
                <wp:extent cx="8890" cy="6324600"/>
                <wp:effectExtent l="635" t="635" r="635" b="63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632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5pt,-0.4pt" to="1pt,497.5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bump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6"/>
          <w:szCs w:val="16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6"/>
          <w:szCs w:val="16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2863850</wp:posOffset>
                </wp:positionH>
                <wp:positionV relativeFrom="paragraph">
                  <wp:posOffset>24130</wp:posOffset>
                </wp:positionV>
                <wp:extent cx="635" cy="624776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47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5.5pt,1.9pt" to="225.5pt,493.8pt" ID="Line 4" stroked="t" o:allowincell="f" style="position:absolute;flip:x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stream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              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auto" w:val="clear"/>
        </w:rPr>
        <w:t>.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                                         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stre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ab/>
        <w:tab/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list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129655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29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83.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Reader Synta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x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 .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color w:val="000000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11544</TotalTime>
  <Application>LibreOffice/24.2.7.2$Linux_X86_64 LibreOffice_project/420$Build-2</Application>
  <AppVersion>15.0000</AppVersion>
  <Pages>2</Pages>
  <Words>1026</Words>
  <Characters>5263</Characters>
  <CharactersWithSpaces>8424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2025-08-14T10:43:10Z</cp:lastPrinted>
  <dcterms:modified xsi:type="dcterms:W3CDTF">2025-08-17T03:31:29Z</dcterms:modified>
  <cp:revision>838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