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40"/>
        <w:jc w:val="center"/>
        <w:rPr>
          <w:rFonts w:ascii="Plus Jakarta Sans" w:hAnsi="Plus Jakarta Sans"/>
        </w:rPr>
      </w:pPr>
      <w:r>
        <w:rPr>
          <w:rFonts w:eastAsia="Source Sans Pro" w:cs="Source Sans Pro" w:ascii="Plus Jakarta Sans" w:hAnsi="Plus Jakarta Sans"/>
          <w:b/>
          <w:bCs/>
          <w:sz w:val="28"/>
          <w:szCs w:val="28"/>
        </w:rPr>
        <w:t>Software Transparency Foundation</w:t>
      </w:r>
      <w:r>
        <w:rPr>
          <w:rFonts w:eastAsia="Source Sans Pro" w:cs="Source Sans Pro" w:ascii="Plus Jakarta Sans" w:hAnsi="Plus Jakarta Sans"/>
          <w:b/>
          <w:bCs/>
          <w:sz w:val="24"/>
          <w:szCs w:val="24"/>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4"/>
          <w:szCs w:val="24"/>
        </w:rPr>
        <w:t>Fundación para la Transparencia del Software</w:t>
      </w:r>
      <w:r>
        <w:rPr>
          <w:rFonts w:eastAsia="Source Sans Pro Light" w:cs="Source Sans Pro Light" w:ascii="Plus Jakarta Sans" w:hAnsi="Plus Jakarta Sans"/>
          <w:b/>
          <w:bCs/>
          <w:sz w:val="20"/>
          <w:szCs w:val="20"/>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0"/>
          <w:szCs w:val="20"/>
        </w:rPr>
        <w:t xml:space="preserve">Madrid, España </w:t>
      </w:r>
      <w:r>
        <w:rPr>
          <w:rFonts w:eastAsia="Source Sans Pro Light" w:cs="Source Sans Pro Light" w:ascii="Plus Jakarta Sans" w:hAnsi="Plus Jakarta Sans"/>
          <w:b w:val="false"/>
          <w:bCs w:val="false"/>
          <w:sz w:val="20"/>
          <w:szCs w:val="20"/>
        </w:rPr>
        <w:t>7</w:t>
      </w:r>
      <w:r>
        <w:rPr>
          <w:rFonts w:eastAsia="Source Sans Pro Light" w:cs="Source Sans Pro Light" w:ascii="Plus Jakarta Sans" w:hAnsi="Plus Jakarta Sans"/>
          <w:b w:val="false"/>
          <w:bCs w:val="false"/>
          <w:sz w:val="20"/>
          <w:szCs w:val="20"/>
          <w:vertAlign w:val="superscript"/>
        </w:rPr>
        <w:t>th</w:t>
      </w:r>
      <w:r>
        <w:rPr>
          <w:rFonts w:eastAsia="Source Sans Pro Light" w:cs="Source Sans Pro Light" w:ascii="Plus Jakarta Sans" w:hAnsi="Plus Jakarta Sans"/>
          <w:b w:val="false"/>
          <w:bCs w:val="false"/>
          <w:sz w:val="20"/>
          <w:szCs w:val="20"/>
        </w:rPr>
        <w:t xml:space="preserve"> </w:t>
      </w:r>
      <w:r>
        <w:rPr>
          <w:rFonts w:eastAsia="Source Sans Pro Light" w:cs="Source Sans Pro Light" w:ascii="Plus Jakarta Sans" w:hAnsi="Plus Jakarta Sans"/>
          <w:b w:val="false"/>
          <w:bCs w:val="false"/>
          <w:sz w:val="20"/>
          <w:szCs w:val="20"/>
        </w:rPr>
        <w:t>November</w:t>
      </w:r>
      <w:r>
        <w:rPr>
          <w:rFonts w:eastAsia="Source Sans Pro Light" w:cs="Source Sans Pro Light" w:ascii="Plus Jakarta Sans" w:hAnsi="Plus Jakarta Sans"/>
          <w:b w:val="false"/>
          <w:bCs w:val="false"/>
          <w:sz w:val="20"/>
          <w:szCs w:val="20"/>
        </w:rPr>
        <w:t>, 2025</w:t>
      </w:r>
    </w:p>
    <w:p>
      <w:pPr>
        <w:pStyle w:val="LO-normal"/>
        <w:widowControl w:val="false"/>
        <w:spacing w:lineRule="auto" w:line="240" w:before="5" w:after="0"/>
        <w:jc w:val="center"/>
        <w:rPr>
          <w:rFonts w:ascii="Plus Jakarta Sans" w:hAnsi="Plus Jakarta Sans" w:eastAsia="Source Sans Pro Light" w:cs="Source Sans Pro Light"/>
          <w:b/>
          <w:bCs/>
          <w:sz w:val="24"/>
          <w:szCs w:val="24"/>
        </w:rPr>
      </w:pPr>
      <w:r>
        <w:rPr>
          <w:rFonts w:eastAsia="Source Sans Pro Light" w:cs="Source Sans Pro Light" w:ascii="Plus Jakarta Sans" w:hAnsi="Plus Jakarta Sans"/>
          <w:b/>
          <w:bCs/>
          <w:sz w:val="24"/>
          <w:szCs w:val="24"/>
        </w:rPr>
      </w:r>
    </w:p>
    <w:p>
      <w:pPr>
        <w:pStyle w:val="Title"/>
        <w:jc w:val="center"/>
        <w:rPr>
          <w:rFonts w:ascii="Plus Jakarta Sans" w:hAnsi="Plus Jakarta Sans"/>
        </w:rPr>
      </w:pPr>
      <w:r>
        <w:rPr>
          <w:rFonts w:ascii="Plus Jakarta Sans" w:hAnsi="Plus Jakarta Sans"/>
        </w:rPr>
        <w:t>Annex A. STF Contribution Policy</w:t>
      </w:r>
    </w:p>
    <w:p>
      <w:pPr>
        <w:pStyle w:val="Subtitle"/>
        <w:jc w:val="center"/>
        <w:rPr>
          <w:rFonts w:ascii="Plus Jakarta Sans" w:hAnsi="Plus Jakarta Sans"/>
        </w:rPr>
      </w:pPr>
      <w:r>
        <w:rPr>
          <w:rFonts w:ascii="Plus Jakarta Sans" w:hAnsi="Plus Jakarta Sans"/>
        </w:rPr>
        <w:t>Programs and Projects Governance</w:t>
      </w:r>
    </w:p>
    <w:p>
      <w:pPr>
        <w:pStyle w:val="LO-normal"/>
        <w:bidi w:val="0"/>
        <w:spacing w:lineRule="auto" w:line="360"/>
        <w:ind w:hanging="0" w:left="0" w:right="0"/>
        <w:rPr>
          <w:rFonts w:ascii="Plus Jakarta Sans" w:hAnsi="Plus Jakarta Sans"/>
          <w:sz w:val="24"/>
          <w:szCs w:val="24"/>
        </w:rPr>
      </w:pPr>
      <w:r>
        <w:rPr>
          <w:rFonts w:ascii="Plus Jakarta Sans" w:hAnsi="Plus Jakarta Sans"/>
          <w:sz w:val="24"/>
          <w:szCs w:val="24"/>
        </w:rPr>
      </w:r>
    </w:p>
    <w:p>
      <w:pPr>
        <w:pStyle w:val="LO-normal"/>
        <w:widowControl w:val="false"/>
        <w:bidi w:val="0"/>
        <w:spacing w:lineRule="auto" w:line="360"/>
        <w:ind w:hanging="0" w:left="0" w:right="0"/>
        <w:rPr>
          <w:sz w:val="24"/>
          <w:szCs w:val="24"/>
        </w:rPr>
      </w:pPr>
      <w:r>
        <w:rPr>
          <w:rFonts w:eastAsia="Source Sans Pro Light" w:cs="Source Sans Pro Light" w:ascii="Plus Jakarta Sans" w:hAnsi="Plus Jakarta Sans"/>
          <w:sz w:val="24"/>
          <w:szCs w:val="24"/>
        </w:rPr>
        <w:t>This document describes the Software Transparency Foundation’s Contribution Policy. It complements the STF Programs and Projects Governance Document, as Annex A .</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BodyText"/>
        <w:numPr>
          <w:ilvl w:val="0"/>
          <w:numId w:val="2"/>
        </w:numPr>
        <w:spacing w:lineRule="auto" w:line="360"/>
        <w:rPr>
          <w:sz w:val="24"/>
          <w:szCs w:val="24"/>
        </w:rPr>
      </w:pPr>
      <w:r>
        <w:rPr>
          <w:rFonts w:ascii="Plus Jakarta Sans" w:hAnsi="Plus Jakarta Sans"/>
          <w:sz w:val="24"/>
          <w:szCs w:val="24"/>
        </w:rPr>
        <w:t>Name: Software Transparency Foundation Contribution Policy</w:t>
      </w:r>
    </w:p>
    <w:p>
      <w:pPr>
        <w:pStyle w:val="BodyText"/>
        <w:numPr>
          <w:ilvl w:val="0"/>
          <w:numId w:val="2"/>
        </w:numPr>
        <w:spacing w:lineRule="auto" w:line="360"/>
        <w:rPr>
          <w:sz w:val="24"/>
          <w:szCs w:val="24"/>
        </w:rPr>
      </w:pPr>
      <w:r>
        <w:rPr>
          <w:rFonts w:ascii="Plus Jakarta Sans" w:hAnsi="Plus Jakarta Sans"/>
          <w:sz w:val="24"/>
          <w:szCs w:val="24"/>
        </w:rPr>
        <w:t>Reference: Annex A</w:t>
      </w:r>
    </w:p>
    <w:p>
      <w:pPr>
        <w:pStyle w:val="BodyText"/>
        <w:numPr>
          <w:ilvl w:val="0"/>
          <w:numId w:val="2"/>
        </w:numPr>
        <w:spacing w:lineRule="auto" w:line="360"/>
        <w:rPr>
          <w:sz w:val="24"/>
          <w:szCs w:val="24"/>
        </w:rPr>
      </w:pPr>
      <w:r>
        <w:rPr>
          <w:rFonts w:ascii="Plus Jakarta Sans" w:hAnsi="Plus Jakarta Sans"/>
          <w:sz w:val="24"/>
          <w:szCs w:val="24"/>
        </w:rPr>
        <w:t>Responsible:</w:t>
      </w:r>
    </w:p>
    <w:p>
      <w:pPr>
        <w:pStyle w:val="BodyText"/>
        <w:numPr>
          <w:ilvl w:val="1"/>
          <w:numId w:val="2"/>
        </w:numPr>
        <w:spacing w:lineRule="auto" w:line="360"/>
        <w:rPr>
          <w:sz w:val="24"/>
          <w:szCs w:val="24"/>
        </w:rPr>
      </w:pPr>
      <w:r>
        <w:rPr>
          <w:rFonts w:ascii="Plus Jakarta Sans" w:hAnsi="Plus Jakarta Sans"/>
          <w:sz w:val="24"/>
          <w:szCs w:val="24"/>
        </w:rPr>
        <w:t>Approval: STF Governing Board</w:t>
      </w:r>
    </w:p>
    <w:p>
      <w:pPr>
        <w:pStyle w:val="BodyText"/>
        <w:numPr>
          <w:ilvl w:val="1"/>
          <w:numId w:val="2"/>
        </w:numPr>
        <w:spacing w:lineRule="auto" w:line="360"/>
        <w:rPr>
          <w:sz w:val="24"/>
          <w:szCs w:val="24"/>
        </w:rPr>
      </w:pPr>
      <w:r>
        <w:rPr>
          <w:rFonts w:ascii="Plus Jakarta Sans" w:hAnsi="Plus Jakarta Sans"/>
          <w:sz w:val="24"/>
          <w:szCs w:val="24"/>
        </w:rPr>
        <w:t xml:space="preserve">Management/maintenance: STF Programs Steering Committee </w:t>
      </w:r>
    </w:p>
    <w:p>
      <w:pPr>
        <w:pStyle w:val="BodyText"/>
        <w:numPr>
          <w:ilvl w:val="0"/>
          <w:numId w:val="2"/>
        </w:numPr>
        <w:spacing w:lineRule="auto" w:line="360"/>
        <w:rPr>
          <w:sz w:val="24"/>
          <w:szCs w:val="24"/>
        </w:rPr>
      </w:pPr>
      <w:r>
        <w:rPr>
          <w:rFonts w:eastAsia="Source Sans Pro Light" w:cs="Source Sans Pro Light" w:ascii="Plus Jakarta Sans" w:hAnsi="Plus Jakarta Sans"/>
          <w:sz w:val="24"/>
          <w:szCs w:val="24"/>
        </w:rPr>
        <w:t xml:space="preserve">Approval date: </w:t>
      </w:r>
      <w:r>
        <w:rPr>
          <w:rFonts w:eastAsia="Source Sans Pro Light" w:cs="Source Sans Pro Light" w:ascii="Plus Jakarta Sans" w:hAnsi="Plus Jakarta Sans"/>
          <w:sz w:val="24"/>
          <w:szCs w:val="24"/>
        </w:rPr>
        <w:t>2025-11-07</w:t>
      </w:r>
    </w:p>
    <w:p>
      <w:pPr>
        <w:pStyle w:val="Heading1"/>
        <w:spacing w:lineRule="auto" w:line="360"/>
        <w:jc w:val="center"/>
        <w:rPr>
          <w:rFonts w:ascii="Plus Jakarta Sans" w:hAnsi="Plus Jakarta Sans"/>
          <w:b/>
          <w:bCs/>
        </w:rPr>
      </w:pPr>
      <w:r>
        <w:rPr>
          <w:rFonts w:ascii="Plus Jakarta Sans" w:hAnsi="Plus Jakarta Sans"/>
          <w:b/>
          <w:bCs/>
        </w:rPr>
        <w:t>1.- DEFINITIONS</w:t>
      </w:r>
    </w:p>
    <w:p>
      <w:pPr>
        <w:pStyle w:val="LO-normal"/>
        <w:widowControl w:val="false"/>
        <w:bidi w:val="0"/>
        <w:spacing w:lineRule="auto" w:line="276"/>
        <w:ind w:hanging="0" w:left="0" w:right="0"/>
        <w:jc w:val="both"/>
        <w:rPr>
          <w:rFonts w:ascii="Plus Jakarta Sans" w:hAnsi="Plus Jakarta Sans" w:eastAsia="Source Sans Pro Light" w:cs="Source Sans Pro Light"/>
        </w:rPr>
      </w:pPr>
      <w:r>
        <w:rPr>
          <w:rFonts w:eastAsia="Source Sans Pro Light" w:cs="Source Sans Pro Light" w:ascii="Plus Jakarta Sans" w:hAnsi="Plus Jakarta Sans"/>
        </w:rPr>
      </w:r>
    </w:p>
    <w:p>
      <w:pPr>
        <w:pStyle w:val="Normal"/>
        <w:widowControl w:val="false"/>
        <w:numPr>
          <w:ilvl w:val="0"/>
          <w:numId w:val="1"/>
        </w:numPr>
        <w:bidi w:val="0"/>
        <w:spacing w:lineRule="auto" w:line="360"/>
        <w:jc w:val="both"/>
        <w:rPr/>
      </w:pPr>
      <w:r>
        <w:rPr>
          <w:rFonts w:eastAsia="Source Sans Pro Light" w:cs="Source Sans Pro Light" w:ascii="Plus Jakarta Sans" w:hAnsi="Plus Jakarta Sans"/>
          <w:b/>
          <w:bCs/>
          <w:sz w:val="24"/>
          <w:szCs w:val="24"/>
        </w:rPr>
        <w:t>IP</w:t>
      </w:r>
      <w:r>
        <w:rPr>
          <w:rFonts w:eastAsia="Source Sans Pro Light" w:cs="Source Sans Pro Light" w:ascii="Plus Jakarta Sans" w:hAnsi="Plus Jakarta Sans"/>
          <w:sz w:val="24"/>
          <w:szCs w:val="24"/>
        </w:rPr>
        <w:t>: refers to Intellectual Property</w:t>
      </w:r>
    </w:p>
    <w:p>
      <w:pPr>
        <w:pStyle w:val="Normal"/>
        <w:widowControl w:val="false"/>
        <w:numPr>
          <w:ilvl w:val="0"/>
          <w:numId w:val="1"/>
        </w:numPr>
        <w:bidi w:val="0"/>
        <w:spacing w:lineRule="auto" w:line="360"/>
        <w:jc w:val="both"/>
        <w:rPr/>
      </w:pPr>
      <w:r>
        <w:rPr>
          <w:rFonts w:eastAsia="Source Sans Pro Light" w:cs="Source Sans Pro Light" w:ascii="Plus Jakarta Sans" w:hAnsi="Plus Jakarta Sans"/>
          <w:b/>
          <w:bCs/>
          <w:sz w:val="24"/>
          <w:szCs w:val="24"/>
        </w:rPr>
        <w:t>CLA</w:t>
      </w:r>
      <w:r>
        <w:rPr>
          <w:rFonts w:eastAsia="Source Sans Pro Light" w:cs="Source Sans Pro Light" w:ascii="Plus Jakarta Sans" w:hAnsi="Plus Jakarta Sans"/>
          <w:sz w:val="24"/>
          <w:szCs w:val="24"/>
        </w:rPr>
        <w:t>: Contribution License Agreement</w:t>
      </w:r>
    </w:p>
    <w:p>
      <w:pPr>
        <w:pStyle w:val="Normal"/>
        <w:widowControl w:val="false"/>
        <w:numPr>
          <w:ilvl w:val="0"/>
          <w:numId w:val="1"/>
        </w:numPr>
        <w:bidi w:val="0"/>
        <w:spacing w:lineRule="auto" w:line="360"/>
        <w:jc w:val="both"/>
        <w:rPr/>
      </w:pPr>
      <w:r>
        <w:rPr>
          <w:rFonts w:eastAsia="Source Sans Pro Light" w:cs="Source Sans Pro Light" w:ascii="Plus Jakarta Sans" w:hAnsi="Plus Jakarta Sans"/>
          <w:b/>
          <w:bCs/>
          <w:sz w:val="24"/>
          <w:szCs w:val="24"/>
        </w:rPr>
        <w:t>iCLA</w:t>
      </w:r>
      <w:r>
        <w:rPr>
          <w:rFonts w:eastAsia="Source Sans Pro Light" w:cs="Source Sans Pro Light" w:ascii="Plus Jakarta Sans" w:hAnsi="Plus Jakarta Sans"/>
          <w:sz w:val="24"/>
          <w:szCs w:val="24"/>
        </w:rPr>
        <w:t>: Individual Contribution License Agreement</w:t>
      </w:r>
    </w:p>
    <w:p>
      <w:pPr>
        <w:pStyle w:val="Normal"/>
        <w:widowControl w:val="false"/>
        <w:numPr>
          <w:ilvl w:val="0"/>
          <w:numId w:val="1"/>
        </w:numPr>
        <w:bidi w:val="0"/>
        <w:spacing w:lineRule="auto" w:line="360"/>
        <w:jc w:val="both"/>
        <w:rPr/>
      </w:pPr>
      <w:r>
        <w:rPr>
          <w:rFonts w:eastAsia="Source Sans Pro Light" w:cs="Source Sans Pro Light" w:ascii="Plus Jakarta Sans" w:hAnsi="Plus Jakarta Sans"/>
          <w:b/>
          <w:bCs/>
          <w:sz w:val="24"/>
          <w:szCs w:val="24"/>
        </w:rPr>
        <w:t>oCLA</w:t>
      </w:r>
      <w:r>
        <w:rPr>
          <w:rFonts w:eastAsia="Source Sans Pro Light" w:cs="Source Sans Pro Light" w:ascii="Plus Jakarta Sans" w:hAnsi="Plus Jakarta Sans"/>
          <w:sz w:val="24"/>
          <w:szCs w:val="24"/>
        </w:rPr>
        <w:t>: Organization Contribution License Agreement</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Heading1"/>
        <w:jc w:val="center"/>
        <w:rPr>
          <w:rFonts w:ascii="Plus Jakarta Sans" w:hAnsi="Plus Jakarta Sans"/>
          <w:b/>
          <w:bCs/>
        </w:rPr>
      </w:pPr>
      <w:r>
        <w:rPr>
          <w:rFonts w:ascii="Plus Jakarta Sans" w:hAnsi="Plus Jakarta Sans"/>
          <w:b/>
          <w:bCs/>
        </w:rPr>
        <w:t>2.- POLICY DESCRIPTION</w:t>
      </w:r>
    </w:p>
    <w:p>
      <w:pPr>
        <w:pStyle w:val="LO-normal"/>
        <w:spacing w:lineRule="auto" w:line="360"/>
        <w:jc w:val="left"/>
        <w:rPr>
          <w:rFonts w:ascii="Plus Jakarta Sans" w:hAnsi="Plus Jakarta Sans"/>
        </w:rPr>
      </w:pPr>
      <w:r>
        <w:rPr>
          <w:rFonts w:ascii="Plus Jakarta Sans" w:hAnsi="Plus Jakarta Sans"/>
        </w:rPr>
      </w:r>
    </w:p>
    <w:p>
      <w:pPr>
        <w:pStyle w:val="BodyText"/>
        <w:spacing w:lineRule="auto" w:line="360"/>
        <w:rPr>
          <w:rFonts w:ascii="Plus Jakarta Sans" w:hAnsi="Plus Jakarta Sans"/>
          <w:sz w:val="24"/>
          <w:szCs w:val="24"/>
        </w:rPr>
      </w:pPr>
      <w:r>
        <w:rPr>
          <w:rFonts w:ascii="Plus Jakarta Sans" w:hAnsi="Plus Jakarta Sans"/>
          <w:sz w:val="24"/>
          <w:szCs w:val="24"/>
        </w:rPr>
        <w:t xml:space="preserve">STF Projects welcome contributions from individuals and organizations who agree to follow STF’s values and governance. </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The STF Contribution Policy establishes the framework for accepting contributions to all STF Programs and Projects. This policy applies to all forms of contributions including source code, documentation, data sets, services, designs and other materials. Contributions must be made under clear, verifiable terms that ensure legal certainty, transparency, and compatibility with STF IP Policy and the others. ensuring legal clarity, intellectual property compliance, and alignment with the Foundation's open collaboration principles.</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The STF Contribution Policy is approved by STF Governing Board, being the Programs Steering Committee the governing body in charge of developing, updating, maintaining it, communicating it and monitoring compliance with it.</w:t>
      </w:r>
    </w:p>
    <w:p>
      <w:pPr>
        <w:pStyle w:val="Heading1"/>
        <w:jc w:val="center"/>
        <w:rPr>
          <w:rFonts w:ascii="Plus Jakarta Sans" w:hAnsi="Plus Jakarta Sans"/>
          <w:b/>
          <w:bCs/>
        </w:rPr>
      </w:pPr>
      <w:r>
        <w:rPr>
          <w:rFonts w:ascii="Plus Jakarta Sans" w:hAnsi="Plus Jakarta Sans"/>
          <w:b/>
          <w:bCs/>
        </w:rPr>
        <w:t>3.- CONTRIBUTIONS SCOPE AND REQUIREMENTS</w:t>
      </w:r>
    </w:p>
    <w:p>
      <w:pPr>
        <w:pStyle w:val="Heading2"/>
        <w:rPr>
          <w:rFonts w:ascii="Plus Jakarta Sans" w:hAnsi="Plus Jakarta Sans"/>
        </w:rPr>
      </w:pPr>
      <w:r>
        <w:rPr>
          <w:rFonts w:ascii="Plus Jakarta Sans" w:hAnsi="Plus Jakarta Sans"/>
        </w:rPr>
        <w:t>3.1.-  SCOPE OF CONTRIBUTIONS</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STF accepts various types of contributions across its domains, like:</w:t>
      </w:r>
    </w:p>
    <w:p>
      <w:pPr>
        <w:pStyle w:val="Normal"/>
        <w:widowControl w:val="false"/>
        <w:numPr>
          <w:ilvl w:val="0"/>
          <w:numId w:val="3"/>
        </w:numPr>
        <w:bidi w:val="0"/>
        <w:spacing w:lineRule="auto" w:line="360"/>
        <w:jc w:val="both"/>
        <w:rPr/>
      </w:pPr>
      <w:r>
        <w:rPr>
          <w:rFonts w:ascii="Plus Jakarta Sans" w:hAnsi="Plus Jakarta Sans"/>
          <w:sz w:val="24"/>
          <w:szCs w:val="24"/>
        </w:rPr>
        <w:t>Open Source Software Program: source code, build scripts, configuration files, software documentation, test cases, bug reports, feature requests, and architectural designs.</w:t>
      </w:r>
    </w:p>
    <w:p>
      <w:pPr>
        <w:pStyle w:val="Normal"/>
        <w:widowControl w:val="false"/>
        <w:numPr>
          <w:ilvl w:val="0"/>
          <w:numId w:val="3"/>
        </w:numPr>
        <w:bidi w:val="0"/>
        <w:spacing w:lineRule="auto" w:line="360"/>
        <w:jc w:val="both"/>
        <w:rPr/>
      </w:pPr>
      <w:r>
        <w:rPr>
          <w:rFonts w:ascii="Plus Jakarta Sans" w:hAnsi="Plus Jakarta Sans"/>
          <w:sz w:val="24"/>
          <w:szCs w:val="24"/>
        </w:rPr>
        <w:t>Open Data Program: data sets, data schemas, validation scripts, data documentation, metadata definitions, data collection methodologies, and data quality assessments.</w:t>
      </w:r>
    </w:p>
    <w:p>
      <w:pPr>
        <w:pStyle w:val="Normal"/>
        <w:widowControl w:val="false"/>
        <w:numPr>
          <w:ilvl w:val="0"/>
          <w:numId w:val="3"/>
        </w:numPr>
        <w:bidi w:val="0"/>
        <w:spacing w:lineRule="auto" w:line="360"/>
        <w:jc w:val="both"/>
        <w:rPr/>
      </w:pPr>
      <w:r>
        <w:rPr>
          <w:rFonts w:ascii="Plus Jakarta Sans" w:hAnsi="Plus Jakarta Sans"/>
          <w:sz w:val="24"/>
          <w:szCs w:val="24"/>
        </w:rPr>
        <w:t>Service Program: service configurations, operational procedures, monitoring reports, deployment documentation, service interfaces, openAPIs definitions and implementations, and operational run books.</w:t>
      </w:r>
    </w:p>
    <w:p>
      <w:pPr>
        <w:pStyle w:val="Normal"/>
        <w:widowControl w:val="false"/>
        <w:numPr>
          <w:ilvl w:val="0"/>
          <w:numId w:val="3"/>
        </w:numPr>
        <w:bidi w:val="0"/>
        <w:spacing w:lineRule="auto" w:line="360"/>
        <w:jc w:val="both"/>
        <w:rPr>
          <w:rFonts w:ascii="Plus Jakarta Sans" w:hAnsi="Plus Jakarta Sans"/>
          <w:sz w:val="24"/>
          <w:szCs w:val="24"/>
        </w:rPr>
      </w:pPr>
      <w:r>
        <w:rPr>
          <w:rFonts w:ascii="Plus Jakarta Sans" w:hAnsi="Plus Jakarta Sans"/>
          <w:sz w:val="24"/>
          <w:szCs w:val="24"/>
        </w:rPr>
        <w:t>Cross-Program: General documentation, governance materials, policy documents, community resources, educational content, and integration specifications.</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t>Other contributions might be welcome too, after an evaluation.</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Heading2"/>
        <w:rPr/>
      </w:pPr>
      <w:r>
        <w:rPr>
          <w:rFonts w:ascii="Plus Jakarta Sans" w:hAnsi="Plus Jakarta Sans"/>
        </w:rPr>
        <w:t>3.2.- CONTRIBUTION REQUIREMENTS</w:t>
      </w:r>
    </w:p>
    <w:p>
      <w:pPr>
        <w:pStyle w:val="Heading3"/>
        <w:rPr>
          <w:rFonts w:ascii="Plus Jakarta Sans" w:hAnsi="Plus Jakarta Sans"/>
        </w:rPr>
      </w:pPr>
      <w:r>
        <w:rPr>
          <w:rFonts w:ascii="Plus Jakarta Sans" w:hAnsi="Plus Jakarta Sans"/>
        </w:rPr>
        <w:t>3.2.1.- General Contribution Requirements</w:t>
      </w:r>
    </w:p>
    <w:p>
      <w:pPr>
        <w:pStyle w:val="Normal"/>
        <w:widowControl w:val="false"/>
        <w:bidi w:val="0"/>
        <w:spacing w:lineRule="auto" w:line="360"/>
        <w:jc w:val="both"/>
        <w:rPr/>
      </w:pPr>
      <w:r>
        <w:rPr/>
      </w:r>
    </w:p>
    <w:p>
      <w:pPr>
        <w:pStyle w:val="Normal"/>
        <w:widowControl w:val="false"/>
        <w:bidi w:val="0"/>
        <w:spacing w:lineRule="auto" w:line="360"/>
        <w:jc w:val="both"/>
        <w:rPr/>
      </w:pPr>
      <w:r>
        <w:rPr>
          <w:rFonts w:ascii="Plus Jakarta Sans" w:hAnsi="Plus Jakarta Sans"/>
          <w:sz w:val="24"/>
          <w:szCs w:val="24"/>
        </w:rPr>
        <w:t>No contribution shall be accepted into any STF Project unless and until the contributor has satisfied all of the following conditions:</w:t>
      </w:r>
    </w:p>
    <w:p>
      <w:pPr>
        <w:pStyle w:val="Normal"/>
        <w:widowControl w:val="false"/>
        <w:numPr>
          <w:ilvl w:val="0"/>
          <w:numId w:val="4"/>
        </w:numPr>
        <w:bidi w:val="0"/>
        <w:spacing w:lineRule="auto" w:line="360"/>
        <w:jc w:val="both"/>
        <w:rPr/>
      </w:pPr>
      <w:r>
        <w:rPr>
          <w:rFonts w:ascii="Plus Jakarta Sans" w:hAnsi="Plus Jakarta Sans"/>
          <w:sz w:val="24"/>
          <w:szCs w:val="24"/>
        </w:rPr>
        <w:t>Acknowledgment of Governing Documents: the contributor shall acknowledge and agree to be bound by the STF Charter.</w:t>
      </w:r>
    </w:p>
    <w:p>
      <w:pPr>
        <w:pStyle w:val="Normal"/>
        <w:widowControl w:val="false"/>
        <w:numPr>
          <w:ilvl w:val="0"/>
          <w:numId w:val="4"/>
        </w:numPr>
        <w:bidi w:val="0"/>
        <w:spacing w:lineRule="auto" w:line="360"/>
        <w:jc w:val="both"/>
        <w:rPr/>
      </w:pPr>
      <w:r>
        <w:rPr>
          <w:rFonts w:ascii="Plus Jakarta Sans" w:hAnsi="Plus Jakarta Sans"/>
          <w:sz w:val="24"/>
          <w:szCs w:val="24"/>
        </w:rPr>
        <w:t>Acceptance of the STF Code of Conduct: the contributor shall accept and agree to adhere to the STF Code of Conduct.</w:t>
      </w:r>
    </w:p>
    <w:p>
      <w:pPr>
        <w:pStyle w:val="Normal"/>
        <w:widowControl w:val="false"/>
        <w:numPr>
          <w:ilvl w:val="0"/>
          <w:numId w:val="4"/>
        </w:numPr>
        <w:bidi w:val="0"/>
        <w:spacing w:lineRule="auto" w:line="360"/>
        <w:jc w:val="both"/>
        <w:rPr/>
      </w:pPr>
      <w:r>
        <w:rPr>
          <w:rFonts w:ascii="Plus Jakarta Sans" w:hAnsi="Plus Jakarta Sans"/>
          <w:sz w:val="24"/>
          <w:szCs w:val="24"/>
        </w:rPr>
        <w:t>Compliance with IP and Licencing policies: the contributor shall comply with all applicable STF Intellectual Property and Licensing Compliance Policies.</w:t>
      </w:r>
    </w:p>
    <w:p>
      <w:pPr>
        <w:pStyle w:val="Normal"/>
        <w:widowControl w:val="false"/>
        <w:numPr>
          <w:ilvl w:val="0"/>
          <w:numId w:val="4"/>
        </w:numPr>
        <w:bidi w:val="0"/>
        <w:spacing w:lineRule="auto" w:line="360"/>
        <w:jc w:val="both"/>
        <w:rPr/>
      </w:pPr>
      <w:r>
        <w:rPr>
          <w:rFonts w:ascii="Plus Jakarta Sans" w:hAnsi="Plus Jakarta Sans"/>
          <w:sz w:val="24"/>
          <w:szCs w:val="24"/>
        </w:rPr>
        <w:t>Submission of a valid Contributor License Agreement (CLA), depending on their contributor status:</w:t>
      </w:r>
    </w:p>
    <w:p>
      <w:pPr>
        <w:pStyle w:val="Normal"/>
        <w:widowControl w:val="false"/>
        <w:numPr>
          <w:ilvl w:val="1"/>
          <w:numId w:val="4"/>
        </w:numPr>
        <w:bidi w:val="0"/>
        <w:spacing w:lineRule="auto" w:line="360"/>
        <w:jc w:val="both"/>
        <w:rPr/>
      </w:pPr>
      <w:r>
        <w:rPr>
          <w:rFonts w:ascii="Plus Jakarta Sans" w:hAnsi="Plus Jakarta Sans"/>
          <w:sz w:val="24"/>
          <w:szCs w:val="24"/>
        </w:rPr>
        <w:t>Individual CLA (iCLA): required for natural persons, contributing in their personal capacity.</w:t>
      </w:r>
    </w:p>
    <w:p>
      <w:pPr>
        <w:pStyle w:val="Normal"/>
        <w:widowControl w:val="false"/>
        <w:numPr>
          <w:ilvl w:val="1"/>
          <w:numId w:val="4"/>
        </w:numPr>
        <w:bidi w:val="0"/>
        <w:spacing w:lineRule="auto" w:line="360"/>
        <w:jc w:val="both"/>
        <w:rPr/>
      </w:pPr>
      <w:r>
        <w:rPr>
          <w:rFonts w:ascii="Plus Jakarta Sans" w:hAnsi="Plus Jakarta Sans"/>
          <w:sz w:val="24"/>
          <w:szCs w:val="24"/>
        </w:rPr>
        <w:t>Organization CLA (oCLA): required for individuals contributing in the course of their employment or engagement, or otherwise on behalf of a legal entity.</w:t>
      </w:r>
    </w:p>
    <w:p>
      <w:pPr>
        <w:pStyle w:val="Normal"/>
        <w:widowControl w:val="false"/>
        <w:bidi w:val="0"/>
        <w:spacing w:lineRule="auto" w:line="360"/>
        <w:jc w:val="both"/>
        <w:rPr/>
      </w:pPr>
      <w:r>
        <w:rPr/>
      </w:r>
    </w:p>
    <w:p>
      <w:pPr>
        <w:pStyle w:val="Normal"/>
        <w:widowControl w:val="false"/>
        <w:bidi w:val="0"/>
        <w:spacing w:lineRule="auto" w:line="360"/>
        <w:jc w:val="both"/>
        <w:rPr/>
      </w:pPr>
      <w:r>
        <w:rPr>
          <w:rFonts w:ascii="Plus Jakarta Sans" w:hAnsi="Plus Jakarta Sans"/>
          <w:sz w:val="24"/>
          <w:szCs w:val="24"/>
        </w:rPr>
        <w:t>Each CLA shall grant to the STF Foundation the necessary rights to use, reproduce, modify, display, perform, sublicense, and distribute the contribution, in whole or in part, for any purpose, while preserving the contributor’s ownership of the original work.</w:t>
      </w:r>
    </w:p>
    <w:p>
      <w:pPr>
        <w:pStyle w:val="Normal"/>
        <w:widowControl w:val="false"/>
        <w:bidi w:val="0"/>
        <w:spacing w:lineRule="auto" w:line="360"/>
        <w:jc w:val="both"/>
        <w:rPr/>
      </w:pPr>
      <w:r>
        <w:rPr/>
      </w:r>
    </w:p>
    <w:p>
      <w:pPr>
        <w:pStyle w:val="Heading3"/>
        <w:rPr>
          <w:rFonts w:ascii="Plus Jakarta Sans" w:hAnsi="Plus Jakarta Sans"/>
        </w:rPr>
      </w:pPr>
      <w:r>
        <w:rPr>
          <w:rFonts w:ascii="Plus Jakarta Sans" w:hAnsi="Plus Jakarta Sans"/>
        </w:rPr>
        <w:t>3.2.2.- Licensing requirements</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t>All contributions must be compatible with the applicable outbound license of the receiving project. Inbound contributions must not introduce license conflicts or additional obligations. Software Transparency Foundation must publish and maintain a list of accepted licenses and usage guidelines for contributors for each Project.</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t>All the details regardin license requirements are described in the Licensing Compliance Policy, an annex of the STF Programs and Projects Governance Document.</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Heading3"/>
        <w:rPr/>
      </w:pPr>
      <w:r>
        <w:rPr>
          <w:rFonts w:ascii="Plus Jakarta Sans" w:hAnsi="Plus Jakarta Sans"/>
        </w:rPr>
        <w:t>3.2.3.- Third-Party Dependencies</w:t>
      </w:r>
    </w:p>
    <w:p>
      <w:pPr>
        <w:pStyle w:val="Normal"/>
        <w:spacing w:lineRule="auto" w:line="360"/>
        <w:rPr>
          <w:rFonts w:ascii="Plus Jakarta Sans" w:hAnsi="Plus Jakarta Sans"/>
        </w:rPr>
      </w:pPr>
      <w:r>
        <w:rPr>
          <w:rFonts w:ascii="Plus Jakarta Sans" w:hAnsi="Plus Jakarta Sans"/>
        </w:rPr>
      </w:r>
    </w:p>
    <w:p>
      <w:pPr>
        <w:pStyle w:val="Normal"/>
        <w:spacing w:lineRule="auto" w:line="360"/>
        <w:rPr>
          <w:rFonts w:ascii="Plus Jakarta Sans" w:hAnsi="Plus Jakarta Sans"/>
        </w:rPr>
      </w:pPr>
      <w:r>
        <w:rPr>
          <w:rFonts w:ascii="Plus Jakarta Sans" w:hAnsi="Plus Jakarta Sans"/>
          <w:sz w:val="24"/>
          <w:szCs w:val="24"/>
        </w:rPr>
        <w:t>Contributors must clearly identify and document any third-party dependencies, ensuring:</w:t>
      </w:r>
    </w:p>
    <w:p>
      <w:pPr>
        <w:pStyle w:val="Normal"/>
        <w:numPr>
          <w:ilvl w:val="0"/>
          <w:numId w:val="15"/>
        </w:numPr>
        <w:spacing w:lineRule="auto" w:line="360"/>
        <w:rPr/>
      </w:pPr>
      <w:r>
        <w:rPr>
          <w:rFonts w:ascii="Plus Jakarta Sans" w:hAnsi="Plus Jakarta Sans"/>
          <w:sz w:val="24"/>
          <w:szCs w:val="24"/>
        </w:rPr>
        <w:t>License compatibility with project requirements</w:t>
      </w:r>
    </w:p>
    <w:p>
      <w:pPr>
        <w:pStyle w:val="Normal"/>
        <w:numPr>
          <w:ilvl w:val="0"/>
          <w:numId w:val="15"/>
        </w:numPr>
        <w:spacing w:lineRule="auto" w:line="360"/>
        <w:rPr/>
      </w:pPr>
      <w:r>
        <w:rPr>
          <w:rFonts w:ascii="Plus Jakarta Sans" w:hAnsi="Plus Jakarta Sans"/>
          <w:sz w:val="24"/>
          <w:szCs w:val="24"/>
        </w:rPr>
        <w:t>Compliance with STF Intellectual Property and other policies</w:t>
      </w:r>
    </w:p>
    <w:p>
      <w:pPr>
        <w:pStyle w:val="Normal"/>
        <w:numPr>
          <w:ilvl w:val="0"/>
          <w:numId w:val="15"/>
        </w:numPr>
        <w:spacing w:lineRule="auto" w:line="360"/>
        <w:rPr/>
      </w:pPr>
      <w:r>
        <w:rPr>
          <w:rFonts w:ascii="Plus Jakarta Sans" w:hAnsi="Plus Jakarta Sans"/>
          <w:sz w:val="24"/>
          <w:szCs w:val="24"/>
        </w:rPr>
        <w:t>Proper attribution and license documentation</w:t>
      </w:r>
    </w:p>
    <w:p>
      <w:pPr>
        <w:pStyle w:val="Normal"/>
        <w:numPr>
          <w:ilvl w:val="0"/>
          <w:numId w:val="15"/>
        </w:numPr>
        <w:spacing w:lineRule="auto" w:line="360"/>
        <w:rPr>
          <w:rFonts w:ascii="Plus Jakarta Sans" w:hAnsi="Plus Jakarta Sans"/>
        </w:rPr>
      </w:pPr>
      <w:r>
        <w:rPr>
          <w:rFonts w:ascii="Plus Jakarta Sans" w:hAnsi="Plus Jakarta Sans"/>
          <w:sz w:val="24"/>
          <w:szCs w:val="24"/>
        </w:rPr>
        <w:t>Security assessment of dependencies</w:t>
      </w:r>
    </w:p>
    <w:p>
      <w:pPr>
        <w:pStyle w:val="Heading3"/>
        <w:rPr>
          <w:sz w:val="28"/>
          <w:szCs w:val="28"/>
        </w:rPr>
      </w:pPr>
      <w:r>
        <w:rPr>
          <w:rFonts w:ascii="Plus Jakarta Sans" w:hAnsi="Plus Jakarta Sans"/>
          <w:sz w:val="28"/>
          <w:szCs w:val="28"/>
        </w:rPr>
        <w:t>3.2.4.- Export Control Compliance</w:t>
      </w:r>
    </w:p>
    <w:p>
      <w:pPr>
        <w:pStyle w:val="Normal"/>
        <w:spacing w:lineRule="auto" w:line="360"/>
        <w:rPr>
          <w:rFonts w:ascii="Plus Jakarta Sans" w:hAnsi="Plus Jakarta Sans"/>
        </w:rPr>
      </w:pPr>
      <w:r>
        <w:rPr>
          <w:rFonts w:ascii="Plus Jakarta Sans" w:hAnsi="Plus Jakarta Sans"/>
        </w:rPr>
      </w:r>
    </w:p>
    <w:p>
      <w:pPr>
        <w:pStyle w:val="Normal"/>
        <w:spacing w:lineRule="auto" w:line="360"/>
        <w:rPr>
          <w:rFonts w:ascii="Plus Jakarta Sans" w:hAnsi="Plus Jakarta Sans"/>
        </w:rPr>
      </w:pPr>
      <w:r>
        <w:rPr>
          <w:rFonts w:ascii="Plus Jakarta Sans" w:hAnsi="Plus Jakarta Sans"/>
          <w:sz w:val="24"/>
          <w:szCs w:val="24"/>
        </w:rPr>
        <w:t xml:space="preserve">Contributors must ensure contributions comply with applicable export control regulations and the STF Export Control Policy, an annex of the STF Programs and Projects Governance Document. </w:t>
      </w:r>
    </w:p>
    <w:p>
      <w:pPr>
        <w:pStyle w:val="Normal"/>
        <w:spacing w:lineRule="auto" w:line="360"/>
        <w:rPr>
          <w:rFonts w:ascii="Plus Jakarta Sans" w:hAnsi="Plus Jakarta Sans"/>
        </w:rPr>
      </w:pPr>
      <w:r>
        <w:rPr>
          <w:rFonts w:ascii="Plus Jakarta Sans" w:hAnsi="Plus Jakarta Sans"/>
        </w:rPr>
      </w:r>
    </w:p>
    <w:p>
      <w:pPr>
        <w:pStyle w:val="Normal"/>
        <w:spacing w:lineRule="auto" w:line="360"/>
        <w:rPr>
          <w:rFonts w:ascii="Plus Jakarta Sans" w:hAnsi="Plus Jakarta Sans"/>
        </w:rPr>
      </w:pPr>
      <w:r>
        <w:rPr>
          <w:rFonts w:ascii="Plus Jakarta Sans" w:hAnsi="Plus Jakarta Sans"/>
          <w:sz w:val="24"/>
          <w:szCs w:val="24"/>
        </w:rPr>
        <w:t>Contributors must notify STF of any potential export control implications.</w:t>
      </w:r>
    </w:p>
    <w:p>
      <w:pPr>
        <w:pStyle w:val="Normal"/>
        <w:spacing w:lineRule="auto" w:line="360"/>
        <w:rPr>
          <w:rFonts w:ascii="Plus Jakarta Sans" w:hAnsi="Plus Jakarta Sans"/>
        </w:rPr>
      </w:pPr>
      <w:r>
        <w:rPr>
          <w:rFonts w:ascii="Plus Jakarta Sans" w:hAnsi="Plus Jakarta Sans"/>
        </w:rPr>
      </w:r>
    </w:p>
    <w:p>
      <w:pPr>
        <w:pStyle w:val="Heading3"/>
        <w:rPr>
          <w:sz w:val="28"/>
          <w:szCs w:val="28"/>
        </w:rPr>
      </w:pPr>
      <w:r>
        <w:rPr>
          <w:rFonts w:ascii="Plus Jakarta Sans" w:hAnsi="Plus Jakarta Sans"/>
          <w:sz w:val="28"/>
          <w:szCs w:val="28"/>
        </w:rPr>
        <w:t>3.2.5.- Sensitive Data Handling</w:t>
      </w:r>
    </w:p>
    <w:p>
      <w:pPr>
        <w:pStyle w:val="Normal"/>
        <w:spacing w:lineRule="auto" w:line="360"/>
        <w:rPr/>
      </w:pPr>
      <w:r>
        <w:rPr/>
      </w:r>
    </w:p>
    <w:p>
      <w:pPr>
        <w:pStyle w:val="Normal"/>
        <w:spacing w:lineRule="auto" w:line="360"/>
        <w:rPr/>
      </w:pPr>
      <w:r>
        <w:rPr>
          <w:rFonts w:ascii="Plus Jakarta Sans" w:hAnsi="Plus Jakarta Sans"/>
          <w:sz w:val="24"/>
          <w:szCs w:val="24"/>
        </w:rPr>
        <w:t>For contributions to Projects belonging to the Open Data Program, special procedures apply for:</w:t>
      </w:r>
    </w:p>
    <w:p>
      <w:pPr>
        <w:pStyle w:val="Normal"/>
        <w:numPr>
          <w:ilvl w:val="0"/>
          <w:numId w:val="16"/>
        </w:numPr>
        <w:spacing w:lineRule="auto" w:line="360"/>
        <w:rPr/>
      </w:pPr>
      <w:r>
        <w:rPr>
          <w:rFonts w:ascii="Plus Jakarta Sans" w:hAnsi="Plus Jakarta Sans"/>
          <w:sz w:val="24"/>
          <w:szCs w:val="24"/>
        </w:rPr>
        <w:t>Personal data protection and anonymization requirements</w:t>
      </w:r>
    </w:p>
    <w:p>
      <w:pPr>
        <w:pStyle w:val="Normal"/>
        <w:numPr>
          <w:ilvl w:val="0"/>
          <w:numId w:val="16"/>
        </w:numPr>
        <w:spacing w:lineRule="auto" w:line="360"/>
        <w:rPr/>
      </w:pPr>
      <w:r>
        <w:rPr>
          <w:rFonts w:ascii="Plus Jakarta Sans" w:hAnsi="Plus Jakarta Sans"/>
          <w:sz w:val="24"/>
          <w:szCs w:val="24"/>
        </w:rPr>
        <w:t>Compliance with applicable privacy regulations (GDPR, etc.)</w:t>
      </w:r>
    </w:p>
    <w:p>
      <w:pPr>
        <w:pStyle w:val="Normal"/>
        <w:numPr>
          <w:ilvl w:val="0"/>
          <w:numId w:val="16"/>
        </w:numPr>
        <w:spacing w:lineRule="auto" w:line="360"/>
        <w:rPr/>
      </w:pPr>
      <w:r>
        <w:rPr>
          <w:rFonts w:ascii="Plus Jakarta Sans" w:hAnsi="Plus Jakarta Sans"/>
          <w:sz w:val="24"/>
          <w:szCs w:val="24"/>
        </w:rPr>
        <w:t>Data source authorization and licensing verification</w:t>
      </w:r>
    </w:p>
    <w:p>
      <w:pPr>
        <w:pStyle w:val="Normal"/>
        <w:numPr>
          <w:ilvl w:val="0"/>
          <w:numId w:val="16"/>
        </w:numPr>
        <w:spacing w:lineRule="auto" w:line="360"/>
        <w:rPr/>
      </w:pPr>
      <w:r>
        <w:rPr>
          <w:rFonts w:ascii="Plus Jakarta Sans" w:hAnsi="Plus Jakarta Sans"/>
          <w:sz w:val="24"/>
          <w:szCs w:val="24"/>
        </w:rPr>
        <w:t>Ethical data collection and usage guidelines</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pPr>
      <w:r>
        <w:rPr>
          <w:rFonts w:ascii="Plus Jakarta Sans" w:hAnsi="Plus Jakarta Sans"/>
          <w:sz w:val="24"/>
          <w:szCs w:val="24"/>
        </w:rPr>
        <w:t>All these procedures are explained in, among other STF policies, the STF Regulatory Compliance Policy, the STF Data Protection Policy, and the STF Contribution Policy</w:t>
      </w:r>
    </w:p>
    <w:p>
      <w:pPr>
        <w:pStyle w:val="Heading3"/>
        <w:rPr>
          <w:rFonts w:ascii="Plus Jakarta Sans" w:hAnsi="Plus Jakarta Sans"/>
        </w:rPr>
      </w:pPr>
      <w:r>
        <w:rPr>
          <w:rFonts w:ascii="Plus Jakarta Sans" w:hAnsi="Plus Jakarta Sans"/>
        </w:rPr>
        <w:t>3.2.6.- Service Contributions framework</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pPr>
      <w:r>
        <w:rPr>
          <w:rFonts w:ascii="Plus Jakarta Sans" w:hAnsi="Plus Jakarta Sans"/>
          <w:sz w:val="24"/>
          <w:szCs w:val="24"/>
        </w:rPr>
        <w:t>For service contributions, belonging to the Service Program, special procedures apply for:</w:t>
      </w:r>
    </w:p>
    <w:p>
      <w:pPr>
        <w:pStyle w:val="BodyText"/>
        <w:numPr>
          <w:ilvl w:val="0"/>
          <w:numId w:val="17"/>
        </w:numPr>
        <w:spacing w:lineRule="auto" w:line="360"/>
        <w:rPr/>
      </w:pPr>
      <w:r>
        <w:rPr>
          <w:rFonts w:ascii="Plus Jakarta Sans" w:hAnsi="Plus Jakarta Sans"/>
          <w:sz w:val="24"/>
          <w:szCs w:val="24"/>
        </w:rPr>
        <w:t xml:space="preserve">Formal service agreements defining scope, duration, and responsibilities </w:t>
      </w:r>
    </w:p>
    <w:p>
      <w:pPr>
        <w:pStyle w:val="BodyText"/>
        <w:numPr>
          <w:ilvl w:val="0"/>
          <w:numId w:val="17"/>
        </w:numPr>
        <w:spacing w:lineRule="auto" w:line="360"/>
        <w:rPr/>
      </w:pPr>
      <w:r>
        <w:rPr>
          <w:rFonts w:ascii="Plus Jakarta Sans" w:hAnsi="Plus Jakarta Sans"/>
          <w:sz w:val="24"/>
          <w:szCs w:val="24"/>
        </w:rPr>
        <w:t xml:space="preserve">Clear service level commitments and performance metrics </w:t>
      </w:r>
    </w:p>
    <w:p>
      <w:pPr>
        <w:pStyle w:val="BodyText"/>
        <w:numPr>
          <w:ilvl w:val="0"/>
          <w:numId w:val="17"/>
        </w:numPr>
        <w:spacing w:lineRule="auto" w:line="360"/>
        <w:rPr/>
      </w:pPr>
      <w:r>
        <w:rPr>
          <w:rFonts w:ascii="Plus Jakarta Sans" w:hAnsi="Plus Jakarta Sans"/>
          <w:sz w:val="24"/>
          <w:szCs w:val="24"/>
        </w:rPr>
        <w:t xml:space="preserve">Compliance with STF governance and operational policies </w:t>
      </w:r>
    </w:p>
    <w:p>
      <w:pPr>
        <w:pStyle w:val="BodyText"/>
        <w:numPr>
          <w:ilvl w:val="0"/>
          <w:numId w:val="17"/>
        </w:numPr>
        <w:spacing w:lineRule="auto" w:line="360"/>
        <w:rPr/>
      </w:pPr>
      <w:r>
        <w:rPr>
          <w:rFonts w:ascii="Plus Jakarta Sans" w:hAnsi="Plus Jakarta Sans"/>
          <w:sz w:val="24"/>
          <w:szCs w:val="24"/>
        </w:rPr>
        <w:t xml:space="preserve">Regular reporting and accountability mechanisms </w:t>
      </w:r>
    </w:p>
    <w:p>
      <w:pPr>
        <w:pStyle w:val="BodyText"/>
        <w:numPr>
          <w:ilvl w:val="0"/>
          <w:numId w:val="17"/>
        </w:numPr>
        <w:spacing w:lineRule="auto" w:line="360"/>
        <w:rPr/>
      </w:pPr>
      <w:r>
        <w:rPr>
          <w:rFonts w:ascii="Plus Jakarta Sans" w:hAnsi="Plus Jakarta Sans"/>
          <w:sz w:val="24"/>
          <w:szCs w:val="24"/>
        </w:rPr>
        <w:t xml:space="preserve">Defined termination and transition procedures </w:t>
      </w:r>
    </w:p>
    <w:p>
      <w:pPr>
        <w:pStyle w:val="BodyText"/>
        <w:numPr>
          <w:ilvl w:val="0"/>
          <w:numId w:val="17"/>
        </w:numPr>
        <w:spacing w:lineRule="auto" w:line="360"/>
        <w:rPr/>
      </w:pPr>
      <w:r>
        <w:rPr>
          <w:rFonts w:ascii="Plus Jakarta Sans" w:hAnsi="Plus Jakarta Sans"/>
          <w:sz w:val="24"/>
          <w:szCs w:val="24"/>
        </w:rPr>
        <w:t>Financial budgeting and reporting</w:t>
      </w:r>
    </w:p>
    <w:p>
      <w:pPr>
        <w:pStyle w:val="Heading1"/>
        <w:jc w:val="center"/>
        <w:rPr>
          <w:b/>
          <w:bCs/>
        </w:rPr>
      </w:pPr>
      <w:r>
        <w:rPr>
          <w:rFonts w:ascii="Plus Jakarta Sans" w:hAnsi="Plus Jakarta Sans"/>
          <w:b/>
          <w:bCs/>
        </w:rPr>
        <w:t>4.- CONTRIBUTION LICENSE AGREEMENTS (CLAs)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rPr>
      </w:pPr>
      <w:r>
        <w:rPr>
          <w:rFonts w:ascii="Plus Jakarta Sans" w:hAnsi="Plus Jakarta Sans"/>
          <w:sz w:val="24"/>
          <w:szCs w:val="24"/>
        </w:rPr>
        <w:t>All contributors must read, sign and submit the appropriate Contributor License Agreement before their contributions can be accepted into any STF Project. STF maintains two types of CLAs:</w:t>
      </w:r>
    </w:p>
    <w:p>
      <w:pPr>
        <w:pStyle w:val="LO-normal"/>
        <w:numPr>
          <w:ilvl w:val="0"/>
          <w:numId w:val="11"/>
        </w:numPr>
        <w:spacing w:lineRule="auto" w:line="360"/>
        <w:rPr>
          <w:rFonts w:ascii="Plus Jakarta Sans" w:hAnsi="Plus Jakarta Sans"/>
        </w:rPr>
      </w:pPr>
      <w:r>
        <w:rPr>
          <w:rFonts w:ascii="Plus Jakarta Sans" w:hAnsi="Plus Jakarta Sans"/>
          <w:sz w:val="24"/>
          <w:szCs w:val="24"/>
        </w:rPr>
        <w:t>Individual Contributor License Agreement (iCLA)</w:t>
      </w:r>
    </w:p>
    <w:p>
      <w:pPr>
        <w:pStyle w:val="LO-normal"/>
        <w:numPr>
          <w:ilvl w:val="0"/>
          <w:numId w:val="11"/>
        </w:numPr>
        <w:spacing w:lineRule="auto" w:line="360"/>
        <w:rPr>
          <w:rFonts w:ascii="Plus Jakarta Sans" w:hAnsi="Plus Jakarta Sans"/>
        </w:rPr>
      </w:pPr>
      <w:r>
        <w:rPr>
          <w:rFonts w:ascii="Plus Jakarta Sans" w:hAnsi="Plus Jakarta Sans"/>
          <w:sz w:val="24"/>
          <w:szCs w:val="24"/>
        </w:rPr>
        <w:t>Organization Contributor License Agreement (oCLA)</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Heading2"/>
        <w:rPr>
          <w:rFonts w:ascii="Plus Jakarta Sans" w:hAnsi="Plus Jakarta Sans"/>
          <w:sz w:val="36"/>
          <w:szCs w:val="36"/>
        </w:rPr>
      </w:pPr>
      <w:r>
        <w:rPr>
          <w:rFonts w:ascii="Plus Jakarta Sans" w:hAnsi="Plus Jakarta Sans"/>
          <w:sz w:val="36"/>
          <w:szCs w:val="36"/>
        </w:rPr>
        <w:t>4.1.- INDIVIDUAL CONTRIBUTION LICENSE AGREEMENT (iCLA)</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rPr>
      </w:pPr>
      <w:r>
        <w:rPr>
          <w:rFonts w:ascii="Plus Jakarta Sans" w:hAnsi="Plus Jakarta Sans"/>
          <w:sz w:val="24"/>
          <w:szCs w:val="24"/>
        </w:rPr>
        <w:t>Required for individuals contributing on their own behalf, the iCLA:</w:t>
      </w:r>
    </w:p>
    <w:p>
      <w:pPr>
        <w:pStyle w:val="LO-normal"/>
        <w:numPr>
          <w:ilvl w:val="0"/>
          <w:numId w:val="12"/>
        </w:numPr>
        <w:spacing w:lineRule="auto" w:line="360"/>
        <w:rPr>
          <w:rFonts w:ascii="Plus Jakarta Sans" w:hAnsi="Plus Jakarta Sans"/>
        </w:rPr>
      </w:pPr>
      <w:r>
        <w:rPr>
          <w:rFonts w:ascii="Plus Jakarta Sans" w:hAnsi="Plus Jakarta Sans"/>
          <w:sz w:val="24"/>
          <w:szCs w:val="24"/>
        </w:rPr>
        <w:t>Grants STF perpetual, worldwide, non-exclusive rights to use, reproduce, modify, and distribute contributions</w:t>
      </w:r>
    </w:p>
    <w:p>
      <w:pPr>
        <w:pStyle w:val="LO-normal"/>
        <w:numPr>
          <w:ilvl w:val="0"/>
          <w:numId w:val="12"/>
        </w:numPr>
        <w:spacing w:lineRule="auto" w:line="360"/>
        <w:rPr>
          <w:rFonts w:ascii="Plus Jakarta Sans" w:hAnsi="Plus Jakarta Sans"/>
        </w:rPr>
      </w:pPr>
      <w:r>
        <w:rPr>
          <w:rFonts w:ascii="Plus Jakarta Sans" w:hAnsi="Plus Jakarta Sans"/>
          <w:sz w:val="24"/>
          <w:szCs w:val="24"/>
        </w:rPr>
        <w:t>Allows contributors to retain copyright ownership of their work</w:t>
      </w:r>
    </w:p>
    <w:p>
      <w:pPr>
        <w:pStyle w:val="LO-normal"/>
        <w:numPr>
          <w:ilvl w:val="0"/>
          <w:numId w:val="12"/>
        </w:numPr>
        <w:spacing w:lineRule="auto" w:line="360"/>
        <w:rPr>
          <w:rFonts w:ascii="Plus Jakarta Sans" w:hAnsi="Plus Jakarta Sans"/>
        </w:rPr>
      </w:pPr>
      <w:r>
        <w:rPr>
          <w:rFonts w:ascii="Plus Jakarta Sans" w:hAnsi="Plus Jakarta Sans"/>
          <w:sz w:val="24"/>
          <w:szCs w:val="24"/>
        </w:rPr>
        <w:t>Includes representations that:</w:t>
      </w:r>
    </w:p>
    <w:p>
      <w:pPr>
        <w:pStyle w:val="LO-normal"/>
        <w:numPr>
          <w:ilvl w:val="1"/>
          <w:numId w:val="12"/>
        </w:numPr>
        <w:spacing w:lineRule="auto" w:line="360"/>
        <w:rPr>
          <w:rFonts w:ascii="Plus Jakarta Sans" w:hAnsi="Plus Jakarta Sans"/>
        </w:rPr>
      </w:pPr>
      <w:r>
        <w:rPr>
          <w:rFonts w:ascii="Plus Jakarta Sans" w:hAnsi="Plus Jakarta Sans"/>
          <w:sz w:val="24"/>
          <w:szCs w:val="24"/>
        </w:rPr>
        <w:t>The contributor has the right to make the contribution</w:t>
      </w:r>
    </w:p>
    <w:p>
      <w:pPr>
        <w:pStyle w:val="LO-normal"/>
        <w:numPr>
          <w:ilvl w:val="1"/>
          <w:numId w:val="12"/>
        </w:numPr>
        <w:spacing w:lineRule="auto" w:line="360"/>
        <w:rPr>
          <w:rFonts w:ascii="Plus Jakarta Sans" w:hAnsi="Plus Jakarta Sans"/>
        </w:rPr>
      </w:pPr>
      <w:r>
        <w:rPr>
          <w:rFonts w:ascii="Plus Jakarta Sans" w:hAnsi="Plus Jakarta Sans"/>
          <w:sz w:val="24"/>
          <w:szCs w:val="24"/>
        </w:rPr>
        <w:t>The contribution is original and the contributor is the author</w:t>
      </w:r>
    </w:p>
    <w:p>
      <w:pPr>
        <w:pStyle w:val="LO-normal"/>
        <w:numPr>
          <w:ilvl w:val="0"/>
          <w:numId w:val="12"/>
        </w:numPr>
        <w:spacing w:lineRule="auto" w:line="360"/>
        <w:rPr>
          <w:rFonts w:ascii="Plus Jakarta Sans" w:hAnsi="Plus Jakarta Sans"/>
        </w:rPr>
      </w:pPr>
      <w:r>
        <w:rPr>
          <w:rFonts w:ascii="Plus Jakarta Sans" w:hAnsi="Plus Jakarta Sans"/>
          <w:sz w:val="24"/>
          <w:szCs w:val="24"/>
        </w:rPr>
        <w:t>Covers patent rights necessary to use the contribution</w:t>
      </w:r>
    </w:p>
    <w:p>
      <w:pPr>
        <w:pStyle w:val="LO-normal"/>
        <w:numPr>
          <w:ilvl w:val="0"/>
          <w:numId w:val="12"/>
        </w:numPr>
        <w:spacing w:lineRule="auto" w:line="360"/>
        <w:rPr>
          <w:rFonts w:ascii="Plus Jakarta Sans" w:hAnsi="Plus Jakarta Sans"/>
        </w:rPr>
      </w:pPr>
      <w:r>
        <w:rPr>
          <w:rFonts w:ascii="Plus Jakarta Sans" w:hAnsi="Plus Jakarta Sans"/>
          <w:sz w:val="24"/>
          <w:szCs w:val="24"/>
        </w:rPr>
        <w:t>Requires disclosure of any known third-party intellectual property claims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Heading2"/>
        <w:rPr>
          <w:rFonts w:ascii="Plus Jakarta Sans" w:hAnsi="Plus Jakarta Sans"/>
          <w:sz w:val="36"/>
          <w:szCs w:val="36"/>
        </w:rPr>
      </w:pPr>
      <w:r>
        <w:rPr>
          <w:rFonts w:ascii="Plus Jakarta Sans" w:hAnsi="Plus Jakarta Sans"/>
          <w:sz w:val="36"/>
          <w:szCs w:val="36"/>
        </w:rPr>
        <w:t>4.2.- ORGANIZATION  CONTRIBUTION LICENSE AGREEMENT (oCLA)</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rPr>
      </w:pPr>
      <w:r>
        <w:rPr>
          <w:rFonts w:ascii="Plus Jakarta Sans" w:hAnsi="Plus Jakarta Sans"/>
          <w:sz w:val="24"/>
          <w:szCs w:val="24"/>
        </w:rPr>
        <w:t>Required when contributions are made by employees or contractors on behalf of an organization, the oCLA:</w:t>
      </w:r>
    </w:p>
    <w:p>
      <w:pPr>
        <w:pStyle w:val="LO-normal"/>
        <w:numPr>
          <w:ilvl w:val="0"/>
          <w:numId w:val="13"/>
        </w:numPr>
        <w:spacing w:lineRule="auto" w:line="360"/>
        <w:rPr>
          <w:rFonts w:ascii="Plus Jakarta Sans" w:hAnsi="Plus Jakarta Sans"/>
        </w:rPr>
      </w:pPr>
      <w:r>
        <w:rPr>
          <w:rFonts w:ascii="Plus Jakarta Sans" w:hAnsi="Plus Jakarta Sans"/>
          <w:sz w:val="24"/>
          <w:szCs w:val="24"/>
        </w:rPr>
        <w:t>Establishes the organization's authority to make contributions and grant necessary rights</w:t>
      </w:r>
    </w:p>
    <w:p>
      <w:pPr>
        <w:pStyle w:val="LO-normal"/>
        <w:numPr>
          <w:ilvl w:val="0"/>
          <w:numId w:val="13"/>
        </w:numPr>
        <w:spacing w:lineRule="auto" w:line="360"/>
        <w:rPr>
          <w:rFonts w:ascii="Plus Jakarta Sans" w:hAnsi="Plus Jakarta Sans"/>
        </w:rPr>
      </w:pPr>
      <w:r>
        <w:rPr>
          <w:rFonts w:ascii="Plus Jakarta Sans" w:hAnsi="Plus Jakarta Sans"/>
          <w:sz w:val="24"/>
          <w:szCs w:val="24"/>
        </w:rPr>
        <w:t>Requires designation of authorized signatories who can execute iCLAs for employees</w:t>
      </w:r>
    </w:p>
    <w:p>
      <w:pPr>
        <w:pStyle w:val="LO-normal"/>
        <w:numPr>
          <w:ilvl w:val="0"/>
          <w:numId w:val="13"/>
        </w:numPr>
        <w:spacing w:lineRule="auto" w:line="360"/>
        <w:rPr>
          <w:rFonts w:ascii="Plus Jakarta Sans" w:hAnsi="Plus Jakarta Sans"/>
        </w:rPr>
      </w:pPr>
      <w:r>
        <w:rPr>
          <w:rFonts w:ascii="Plus Jakarta Sans" w:hAnsi="Plus Jakarta Sans"/>
          <w:sz w:val="24"/>
          <w:szCs w:val="24"/>
        </w:rPr>
        <w:t>Includes provisions for managing employee contributors and contractor relationships</w:t>
      </w:r>
    </w:p>
    <w:p>
      <w:pPr>
        <w:pStyle w:val="LO-normal"/>
        <w:numPr>
          <w:ilvl w:val="0"/>
          <w:numId w:val="13"/>
        </w:numPr>
        <w:spacing w:lineRule="auto" w:line="360"/>
        <w:rPr>
          <w:rFonts w:ascii="Plus Jakarta Sans" w:hAnsi="Plus Jakarta Sans"/>
        </w:rPr>
      </w:pPr>
      <w:r>
        <w:rPr>
          <w:rFonts w:ascii="Plus Jakarta Sans" w:hAnsi="Plus Jakarta Sans"/>
          <w:sz w:val="24"/>
          <w:szCs w:val="24"/>
        </w:rPr>
        <w:t>Addresses work-for-hire and intellectual property assignment policies</w:t>
      </w:r>
    </w:p>
    <w:p>
      <w:pPr>
        <w:pStyle w:val="LO-normal"/>
        <w:numPr>
          <w:ilvl w:val="0"/>
          <w:numId w:val="13"/>
        </w:numPr>
        <w:spacing w:lineRule="auto" w:line="360"/>
        <w:rPr>
          <w:rFonts w:ascii="Plus Jakarta Sans" w:hAnsi="Plus Jakarta Sans"/>
        </w:rPr>
      </w:pPr>
      <w:r>
        <w:rPr>
          <w:rFonts w:ascii="Plus Jakarta Sans" w:hAnsi="Plus Jakarta Sans"/>
          <w:sz w:val="24"/>
          <w:szCs w:val="24"/>
        </w:rPr>
        <w:t>Requires maintenance of current employee contributor lists</w:t>
      </w:r>
    </w:p>
    <w:p>
      <w:pPr>
        <w:pStyle w:val="Heading1"/>
        <w:jc w:val="center"/>
        <w:rPr>
          <w:rFonts w:ascii="Plus Jakarta Sans" w:hAnsi="Plus Jakarta Sans"/>
        </w:rPr>
      </w:pPr>
      <w:r>
        <w:rPr>
          <w:rFonts w:ascii="Plus Jakarta Sans" w:hAnsi="Plus Jakarta Sans"/>
          <w:b/>
          <w:bCs/>
        </w:rPr>
        <w:t>5.- CONTRIBUTION PROCESS</w:t>
      </w:r>
    </w:p>
    <w:p>
      <w:pPr>
        <w:pStyle w:val="LO-normal"/>
        <w:spacing w:lineRule="auto" w:line="360"/>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Contributions go through a structured process before the corresponding assets become part of STF. The process have four stages:</w:t>
      </w:r>
    </w:p>
    <w:p>
      <w:pPr>
        <w:pStyle w:val="LO-normal"/>
        <w:numPr>
          <w:ilvl w:val="0"/>
          <w:numId w:val="5"/>
        </w:numPr>
        <w:spacing w:lineRule="auto" w:line="360"/>
        <w:jc w:val="left"/>
        <w:rPr>
          <w:rFonts w:ascii="Plus Jakarta Sans" w:hAnsi="Plus Jakarta Sans"/>
          <w:sz w:val="24"/>
          <w:szCs w:val="24"/>
        </w:rPr>
      </w:pPr>
      <w:r>
        <w:rPr>
          <w:rFonts w:ascii="Plus Jakarta Sans" w:hAnsi="Plus Jakarta Sans"/>
          <w:sz w:val="24"/>
          <w:szCs w:val="24"/>
        </w:rPr>
        <w:t>Submission: contributions are submitted via the official project infrastructure.</w:t>
      </w:r>
    </w:p>
    <w:p>
      <w:pPr>
        <w:pStyle w:val="LO-normal"/>
        <w:numPr>
          <w:ilvl w:val="0"/>
          <w:numId w:val="5"/>
        </w:numPr>
        <w:spacing w:lineRule="auto" w:line="360"/>
        <w:jc w:val="left"/>
        <w:rPr>
          <w:rFonts w:ascii="Plus Jakarta Sans" w:hAnsi="Plus Jakarta Sans"/>
          <w:sz w:val="24"/>
          <w:szCs w:val="24"/>
        </w:rPr>
      </w:pPr>
      <w:r>
        <w:rPr>
          <w:rFonts w:ascii="Plus Jakarta Sans" w:hAnsi="Plus Jakarta Sans"/>
          <w:sz w:val="24"/>
          <w:szCs w:val="24"/>
        </w:rPr>
        <w:t xml:space="preserve">Review: contributions are reviewed by contributors and/or project Maintainers for technical quality, compliance with policies, and legal clarity. </w:t>
      </w:r>
    </w:p>
    <w:p>
      <w:pPr>
        <w:pStyle w:val="LO-normal"/>
        <w:numPr>
          <w:ilvl w:val="0"/>
          <w:numId w:val="5"/>
        </w:numPr>
        <w:spacing w:lineRule="auto" w:line="360"/>
        <w:jc w:val="left"/>
        <w:rPr>
          <w:rFonts w:ascii="Plus Jakarta Sans" w:hAnsi="Plus Jakarta Sans"/>
          <w:sz w:val="24"/>
          <w:szCs w:val="24"/>
        </w:rPr>
      </w:pPr>
      <w:r>
        <w:rPr>
          <w:rFonts w:ascii="Plus Jakarta Sans" w:hAnsi="Plus Jakarta Sans"/>
          <w:sz w:val="24"/>
          <w:szCs w:val="24"/>
        </w:rPr>
        <w:t>Approval: the contribution is approved by Maintainers. Approved contributions are merged or accepted, with rationale documented in public STF channels.</w:t>
      </w:r>
    </w:p>
    <w:p>
      <w:pPr>
        <w:pStyle w:val="LO-normal"/>
        <w:numPr>
          <w:ilvl w:val="0"/>
          <w:numId w:val="5"/>
        </w:numPr>
        <w:spacing w:lineRule="auto" w:line="360"/>
        <w:jc w:val="left"/>
        <w:rPr>
          <w:rFonts w:ascii="Plus Jakarta Sans" w:hAnsi="Plus Jakarta Sans"/>
          <w:sz w:val="24"/>
          <w:szCs w:val="24"/>
        </w:rPr>
      </w:pPr>
      <w:r>
        <w:rPr>
          <w:rFonts w:ascii="Plus Jakarta Sans" w:hAnsi="Plus Jakarta Sans"/>
          <w:sz w:val="24"/>
          <w:szCs w:val="24"/>
        </w:rPr>
        <w:t>Acknowledgment: contributors are credited and may be invited to participate further based on merit.</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STF may introduce tools to automate CLA verification and to simplify the contributor onboarding process. All submitted CLAs and contributor records will be maintained securely by the STF for audit and compliance purposes.</w:t>
      </w:r>
    </w:p>
    <w:p>
      <w:pPr>
        <w:pStyle w:val="Heading2"/>
        <w:rPr>
          <w:rFonts w:ascii="Plus Jakarta Sans" w:hAnsi="Plus Jakarta Sans"/>
        </w:rPr>
      </w:pPr>
      <w:r>
        <w:rPr>
          <w:rFonts w:ascii="Plus Jakarta Sans" w:hAnsi="Plus Jakarta Sans"/>
        </w:rPr>
        <w:t>5.1.- SUBMISSION STAGE</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 xml:space="preserve">The Submission stage include the following requirements and actions, executed in the designated system by STF: </w:t>
      </w:r>
    </w:p>
    <w:p>
      <w:pPr>
        <w:pStyle w:val="LO-normal"/>
        <w:numPr>
          <w:ilvl w:val="0"/>
          <w:numId w:val="6"/>
        </w:numPr>
        <w:spacing w:lineRule="auto" w:line="360"/>
        <w:rPr/>
      </w:pPr>
      <w:r>
        <w:rPr>
          <w:rFonts w:ascii="Plus Jakarta Sans" w:hAnsi="Plus Jakarta Sans"/>
          <w:sz w:val="24"/>
          <w:szCs w:val="24"/>
        </w:rPr>
        <w:t>Pre-submission</w:t>
      </w:r>
    </w:p>
    <w:p>
      <w:pPr>
        <w:pStyle w:val="LO-normal"/>
        <w:numPr>
          <w:ilvl w:val="1"/>
          <w:numId w:val="6"/>
        </w:numPr>
        <w:spacing w:lineRule="auto" w:line="360"/>
        <w:rPr/>
      </w:pPr>
      <w:r>
        <w:rPr>
          <w:rFonts w:ascii="Plus Jakarta Sans" w:hAnsi="Plus Jakarta Sans"/>
          <w:sz w:val="24"/>
          <w:szCs w:val="24"/>
        </w:rPr>
        <w:t xml:space="preserve">Account Setup: contributors must establish accounts on STF-approved platforms and communication channels so they can submit the contribution, track the evolution of the contribution process and respond to inquiries or questions </w:t>
      </w:r>
    </w:p>
    <w:p>
      <w:pPr>
        <w:pStyle w:val="LO-normal"/>
        <w:numPr>
          <w:ilvl w:val="1"/>
          <w:numId w:val="6"/>
        </w:numPr>
        <w:spacing w:lineRule="auto" w:line="360"/>
        <w:rPr/>
      </w:pPr>
      <w:r>
        <w:rPr>
          <w:rFonts w:ascii="Plus Jakarta Sans" w:hAnsi="Plus Jakarta Sans"/>
          <w:sz w:val="24"/>
          <w:szCs w:val="24"/>
        </w:rPr>
        <w:t>CLA Submission: Contributors must download, fill, sign and submit the appropriate CLA</w:t>
      </w:r>
    </w:p>
    <w:p>
      <w:pPr>
        <w:pStyle w:val="LO-normal"/>
        <w:numPr>
          <w:ilvl w:val="1"/>
          <w:numId w:val="6"/>
        </w:numPr>
        <w:spacing w:lineRule="auto" w:line="360"/>
        <w:rPr/>
      </w:pPr>
      <w:r>
        <w:rPr>
          <w:rFonts w:ascii="Plus Jakarta Sans" w:hAnsi="Plus Jakarta Sans"/>
          <w:sz w:val="24"/>
          <w:szCs w:val="24"/>
        </w:rPr>
        <w:t>Code of Conduct Acceptance: contributors must acknowledge and agree to follow the STF Code of Conduct</w:t>
      </w:r>
    </w:p>
    <w:p>
      <w:pPr>
        <w:pStyle w:val="LO-normal"/>
        <w:numPr>
          <w:ilvl w:val="0"/>
          <w:numId w:val="6"/>
        </w:numPr>
        <w:spacing w:lineRule="auto" w:line="360"/>
        <w:rPr/>
      </w:pPr>
      <w:r>
        <w:rPr>
          <w:rFonts w:ascii="Plus Jakarta Sans" w:hAnsi="Plus Jakarta Sans"/>
          <w:sz w:val="24"/>
          <w:szCs w:val="24"/>
        </w:rPr>
        <w:t>Submission:</w:t>
      </w:r>
    </w:p>
    <w:p>
      <w:pPr>
        <w:pStyle w:val="LO-normal"/>
        <w:numPr>
          <w:ilvl w:val="1"/>
          <w:numId w:val="6"/>
        </w:numPr>
        <w:spacing w:lineRule="auto" w:line="360"/>
        <w:rPr/>
      </w:pPr>
      <w:r>
        <w:rPr>
          <w:rFonts w:ascii="Plus Jakarta Sans" w:hAnsi="Plus Jakarta Sans"/>
          <w:sz w:val="24"/>
          <w:szCs w:val="24"/>
        </w:rPr>
        <w:t>Proposal Discussion: for significant contributions, contributors should discuss proposals through appropriate project channels before implementation</w:t>
      </w:r>
    </w:p>
    <w:p>
      <w:pPr>
        <w:pStyle w:val="LO-normal"/>
        <w:numPr>
          <w:ilvl w:val="1"/>
          <w:numId w:val="6"/>
        </w:numPr>
        <w:spacing w:lineRule="auto" w:line="360"/>
        <w:rPr/>
      </w:pPr>
      <w:r>
        <w:rPr>
          <w:rFonts w:ascii="Plus Jakarta Sans" w:hAnsi="Plus Jakarta Sans"/>
          <w:sz w:val="24"/>
          <w:szCs w:val="24"/>
        </w:rPr>
        <w:t>Technical Implementation: contributors develop their contributions following project-specific guidelines and coding standards</w:t>
      </w:r>
    </w:p>
    <w:p>
      <w:pPr>
        <w:pStyle w:val="LO-normal"/>
        <w:numPr>
          <w:ilvl w:val="1"/>
          <w:numId w:val="6"/>
        </w:numPr>
        <w:spacing w:lineRule="auto" w:line="360"/>
        <w:rPr>
          <w:rFonts w:ascii="Plus Jakarta Sans" w:hAnsi="Plus Jakarta Sans"/>
          <w:sz w:val="24"/>
          <w:szCs w:val="24"/>
        </w:rPr>
      </w:pPr>
      <w:r>
        <w:rPr>
          <w:rFonts w:ascii="Plus Jakarta Sans" w:hAnsi="Plus Jakarta Sans"/>
          <w:sz w:val="24"/>
          <w:szCs w:val="24"/>
        </w:rPr>
        <w:t>Submission: contributions are submitted through established project workflows (e.g., pull requests, data submissions, service proposals)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Heading2"/>
        <w:rPr>
          <w:rFonts w:ascii="Plus Jakarta Sans" w:hAnsi="Plus Jakarta Sans"/>
          <w:sz w:val="32"/>
          <w:szCs w:val="32"/>
        </w:rPr>
      </w:pPr>
      <w:r>
        <w:rPr>
          <w:rFonts w:ascii="Plus Jakarta Sans" w:hAnsi="Plus Jakarta Sans"/>
          <w:sz w:val="32"/>
          <w:szCs w:val="32"/>
        </w:rPr>
        <w:t>5.2.- REVIEW STAGE</w:t>
      </w:r>
    </w:p>
    <w:p>
      <w:pPr>
        <w:pStyle w:val="LO-normal"/>
        <w:spacing w:lineRule="auto" w:line="360"/>
        <w:rPr/>
      </w:pPr>
      <w:r>
        <w:rPr/>
      </w:r>
    </w:p>
    <w:p>
      <w:pPr>
        <w:pStyle w:val="LO-normal"/>
        <w:spacing w:lineRule="auto" w:line="360"/>
        <w:rPr/>
      </w:pPr>
      <w:r>
        <w:rPr>
          <w:rFonts w:ascii="Plus Jakarta Sans" w:hAnsi="Plus Jakarta Sans"/>
          <w:sz w:val="24"/>
          <w:szCs w:val="24"/>
        </w:rPr>
        <w:t xml:space="preserve">The Review stage includes the following requirements and actions, executed in the designated system by STF: </w:t>
      </w:r>
    </w:p>
    <w:p>
      <w:pPr>
        <w:pStyle w:val="LO-normal"/>
        <w:numPr>
          <w:ilvl w:val="0"/>
          <w:numId w:val="7"/>
        </w:numPr>
        <w:spacing w:lineRule="auto" w:line="360"/>
        <w:rPr/>
      </w:pPr>
      <w:r>
        <w:rPr>
          <w:rFonts w:ascii="Plus Jakarta Sans" w:hAnsi="Plus Jakarta Sans"/>
          <w:sz w:val="24"/>
          <w:szCs w:val="24"/>
        </w:rPr>
        <w:t>Automated Checks: Contributions undergo software composition analysis, quality and security scanning, automated testing, format validation or any other checks for STF to understand the nature, evaluate the risks and the value of the contributed assets</w:t>
      </w:r>
    </w:p>
    <w:p>
      <w:pPr>
        <w:pStyle w:val="LO-normal"/>
        <w:numPr>
          <w:ilvl w:val="0"/>
          <w:numId w:val="7"/>
        </w:numPr>
        <w:spacing w:lineRule="auto" w:line="360"/>
        <w:rPr/>
      </w:pPr>
      <w:r>
        <w:rPr>
          <w:rFonts w:ascii="Plus Jakarta Sans" w:hAnsi="Plus Jakarta Sans"/>
          <w:sz w:val="24"/>
          <w:szCs w:val="24"/>
        </w:rPr>
        <w:t>Technical Review. Project Maintainers review contributions for:</w:t>
      </w:r>
    </w:p>
    <w:p>
      <w:pPr>
        <w:pStyle w:val="LO-normal"/>
        <w:numPr>
          <w:ilvl w:val="1"/>
          <w:numId w:val="7"/>
        </w:numPr>
        <w:spacing w:lineRule="auto" w:line="360"/>
        <w:rPr/>
      </w:pPr>
      <w:r>
        <w:rPr>
          <w:rFonts w:ascii="Plus Jakarta Sans" w:hAnsi="Plus Jakarta Sans"/>
          <w:sz w:val="24"/>
          <w:szCs w:val="24"/>
        </w:rPr>
        <w:t>Technical quality and compliance with project, Program and STF standards</w:t>
      </w:r>
    </w:p>
    <w:p>
      <w:pPr>
        <w:pStyle w:val="LO-normal"/>
        <w:numPr>
          <w:ilvl w:val="1"/>
          <w:numId w:val="7"/>
        </w:numPr>
        <w:spacing w:lineRule="auto" w:line="360"/>
        <w:rPr/>
      </w:pPr>
      <w:r>
        <w:rPr>
          <w:rFonts w:ascii="Plus Jakarta Sans" w:hAnsi="Plus Jakarta Sans"/>
          <w:sz w:val="24"/>
          <w:szCs w:val="24"/>
        </w:rPr>
        <w:t>Security and data protection implications as well as best practices</w:t>
      </w:r>
    </w:p>
    <w:p>
      <w:pPr>
        <w:pStyle w:val="LO-normal"/>
        <w:numPr>
          <w:ilvl w:val="1"/>
          <w:numId w:val="7"/>
        </w:numPr>
        <w:spacing w:lineRule="auto" w:line="360"/>
        <w:rPr/>
      </w:pPr>
      <w:r>
        <w:rPr>
          <w:rFonts w:ascii="Plus Jakarta Sans" w:hAnsi="Plus Jakarta Sans"/>
          <w:sz w:val="24"/>
          <w:szCs w:val="24"/>
        </w:rPr>
        <w:t>Alignment with project roadmap and architecture</w:t>
      </w:r>
    </w:p>
    <w:p>
      <w:pPr>
        <w:pStyle w:val="LO-normal"/>
        <w:numPr>
          <w:ilvl w:val="1"/>
          <w:numId w:val="7"/>
        </w:numPr>
        <w:spacing w:lineRule="auto" w:line="360"/>
        <w:rPr/>
      </w:pPr>
      <w:r>
        <w:rPr>
          <w:rFonts w:ascii="Plus Jakarta Sans" w:hAnsi="Plus Jakarta Sans"/>
          <w:sz w:val="24"/>
          <w:szCs w:val="24"/>
        </w:rPr>
        <w:t>Documentation completeness and accuracy</w:t>
      </w:r>
    </w:p>
    <w:p>
      <w:pPr>
        <w:pStyle w:val="LO-normal"/>
        <w:numPr>
          <w:ilvl w:val="1"/>
          <w:numId w:val="7"/>
        </w:numPr>
        <w:spacing w:lineRule="auto" w:line="360"/>
        <w:rPr/>
      </w:pPr>
      <w:r>
        <w:rPr>
          <w:rFonts w:ascii="Plus Jakarta Sans" w:hAnsi="Plus Jakarta Sans"/>
          <w:sz w:val="24"/>
          <w:szCs w:val="24"/>
        </w:rPr>
        <w:t>Any other technical evaluation required to understand the technical nature, evaluate the technical risks and the technical merit of the contributed assets</w:t>
      </w:r>
    </w:p>
    <w:p>
      <w:pPr>
        <w:pStyle w:val="LO-normal"/>
        <w:numPr>
          <w:ilvl w:val="0"/>
          <w:numId w:val="7"/>
        </w:numPr>
        <w:spacing w:lineRule="auto" w:line="360"/>
        <w:rPr/>
      </w:pPr>
      <w:r>
        <w:rPr>
          <w:rFonts w:ascii="Plus Jakarta Sans" w:hAnsi="Plus Jakarta Sans"/>
          <w:sz w:val="24"/>
          <w:szCs w:val="24"/>
        </w:rPr>
        <w:t>IP Clearance. Contributions are reviewed for:</w:t>
      </w:r>
    </w:p>
    <w:p>
      <w:pPr>
        <w:pStyle w:val="LO-normal"/>
        <w:numPr>
          <w:ilvl w:val="1"/>
          <w:numId w:val="8"/>
        </w:numPr>
        <w:spacing w:lineRule="auto" w:line="360"/>
        <w:rPr/>
      </w:pPr>
      <w:r>
        <w:rPr>
          <w:rFonts w:ascii="Plus Jakarta Sans" w:hAnsi="Plus Jakarta Sans"/>
          <w:sz w:val="24"/>
          <w:szCs w:val="24"/>
        </w:rPr>
        <w:t>License compatibility with project, program and STF requirements</w:t>
      </w:r>
    </w:p>
    <w:p>
      <w:pPr>
        <w:pStyle w:val="LO-normal"/>
        <w:numPr>
          <w:ilvl w:val="1"/>
          <w:numId w:val="8"/>
        </w:numPr>
        <w:spacing w:lineRule="auto" w:line="360"/>
        <w:rPr/>
      </w:pPr>
      <w:r>
        <w:rPr>
          <w:rFonts w:ascii="Plus Jakarta Sans" w:hAnsi="Plus Jakarta Sans"/>
          <w:sz w:val="24"/>
          <w:szCs w:val="24"/>
        </w:rPr>
        <w:t>Third-party dependency compliance</w:t>
      </w:r>
    </w:p>
    <w:p>
      <w:pPr>
        <w:pStyle w:val="LO-normal"/>
        <w:numPr>
          <w:ilvl w:val="1"/>
          <w:numId w:val="8"/>
        </w:numPr>
        <w:spacing w:lineRule="auto" w:line="360"/>
        <w:rPr/>
      </w:pPr>
      <w:r>
        <w:rPr>
          <w:rFonts w:ascii="Plus Jakarta Sans" w:hAnsi="Plus Jakarta Sans"/>
          <w:sz w:val="24"/>
          <w:szCs w:val="24"/>
        </w:rPr>
        <w:t>Patent implications and freedom to operate</w:t>
      </w:r>
    </w:p>
    <w:p>
      <w:pPr>
        <w:pStyle w:val="LO-normal"/>
        <w:numPr>
          <w:ilvl w:val="1"/>
          <w:numId w:val="8"/>
        </w:numPr>
        <w:spacing w:lineRule="auto" w:line="360"/>
        <w:rPr/>
      </w:pPr>
      <w:r>
        <w:rPr>
          <w:rFonts w:ascii="Plus Jakarta Sans" w:hAnsi="Plus Jakarta Sans"/>
          <w:sz w:val="24"/>
          <w:szCs w:val="24"/>
        </w:rPr>
        <w:t>Compliance with export control regulations</w:t>
      </w:r>
    </w:p>
    <w:p>
      <w:pPr>
        <w:pStyle w:val="LO-normal"/>
        <w:numPr>
          <w:ilvl w:val="0"/>
          <w:numId w:val="8"/>
        </w:numPr>
        <w:spacing w:lineRule="auto" w:line="360"/>
        <w:rPr/>
      </w:pPr>
      <w:r>
        <w:rPr>
          <w:rFonts w:ascii="Plus Jakarta Sans" w:hAnsi="Plus Jakarta Sans"/>
          <w:sz w:val="24"/>
          <w:szCs w:val="24"/>
        </w:rPr>
        <w:t>Community Review. Contributions follow a community review process including:</w:t>
      </w:r>
    </w:p>
    <w:p>
      <w:pPr>
        <w:pStyle w:val="LO-normal"/>
        <w:numPr>
          <w:ilvl w:val="1"/>
          <w:numId w:val="8"/>
        </w:numPr>
        <w:spacing w:lineRule="auto" w:line="360"/>
        <w:rPr/>
      </w:pPr>
      <w:r>
        <w:rPr>
          <w:rFonts w:ascii="Plus Jakarta Sans" w:hAnsi="Plus Jakarta Sans"/>
          <w:sz w:val="24"/>
          <w:szCs w:val="24"/>
        </w:rPr>
        <w:t>Public discussion periods for significant changes</w:t>
      </w:r>
    </w:p>
    <w:p>
      <w:pPr>
        <w:pStyle w:val="LO-normal"/>
        <w:numPr>
          <w:ilvl w:val="1"/>
          <w:numId w:val="8"/>
        </w:numPr>
        <w:spacing w:lineRule="auto" w:line="360"/>
        <w:rPr/>
      </w:pPr>
      <w:r>
        <w:rPr>
          <w:rFonts w:ascii="Plus Jakarta Sans" w:hAnsi="Plus Jakarta Sans"/>
          <w:sz w:val="24"/>
          <w:szCs w:val="24"/>
        </w:rPr>
        <w:t>Consensus-building among stakeholders</w:t>
      </w:r>
    </w:p>
    <w:p>
      <w:pPr>
        <w:pStyle w:val="LO-normal"/>
        <w:numPr>
          <w:ilvl w:val="1"/>
          <w:numId w:val="8"/>
        </w:numPr>
        <w:spacing w:lineRule="auto" w:line="360"/>
        <w:rPr/>
      </w:pPr>
      <w:r>
        <w:rPr>
          <w:rFonts w:ascii="Plus Jakarta Sans" w:hAnsi="Plus Jakarta Sans"/>
          <w:sz w:val="24"/>
          <w:szCs w:val="24"/>
        </w:rPr>
        <w:t>Feedback incorporation and iteration</w:t>
      </w:r>
    </w:p>
    <w:p>
      <w:pPr>
        <w:pStyle w:val="LO-normal"/>
        <w:spacing w:lineRule="auto" w:line="360"/>
        <w:rPr/>
      </w:pPr>
      <w:r>
        <w:rPr/>
      </w:r>
    </w:p>
    <w:p>
      <w:pPr>
        <w:pStyle w:val="LO-normal"/>
        <w:spacing w:lineRule="auto" w:line="360"/>
        <w:rPr/>
      </w:pPr>
      <w:r>
        <w:rPr>
          <w:rFonts w:ascii="Plus Jakarta Sans" w:hAnsi="Plus Jakarta Sans"/>
          <w:sz w:val="24"/>
          <w:szCs w:val="24"/>
        </w:rPr>
        <w:t xml:space="preserve">The workflow, orchestration and implementation of these actions and requirements might vary on the target Program and/or Project. </w:t>
      </w:r>
    </w:p>
    <w:p>
      <w:pPr>
        <w:pStyle w:val="Heading2"/>
        <w:rPr>
          <w:rFonts w:ascii="Plus Jakarta Sans" w:hAnsi="Plus Jakarta Sans"/>
        </w:rPr>
      </w:pPr>
      <w:r>
        <w:rPr>
          <w:rFonts w:ascii="Plus Jakarta Sans" w:hAnsi="Plus Jakarta Sans"/>
        </w:rPr>
        <w:t>5.3.- APPROVAL STAGE</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The Approval stage includes these actions and requirements:</w:t>
      </w:r>
    </w:p>
    <w:p>
      <w:pPr>
        <w:pStyle w:val="LO-normal"/>
        <w:numPr>
          <w:ilvl w:val="0"/>
          <w:numId w:val="9"/>
        </w:numPr>
        <w:spacing w:lineRule="auto" w:line="360"/>
        <w:rPr>
          <w:rFonts w:ascii="Plus Jakarta Sans" w:hAnsi="Plus Jakarta Sans"/>
          <w:sz w:val="24"/>
          <w:szCs w:val="24"/>
        </w:rPr>
      </w:pPr>
      <w:r>
        <w:rPr>
          <w:rFonts w:ascii="Plus Jakarta Sans" w:hAnsi="Plus Jakarta Sans"/>
          <w:sz w:val="24"/>
          <w:szCs w:val="24"/>
        </w:rPr>
        <w:t>Final Approval: Maintainers provide final approval based on technical merit and Maintainers consensus. Contributors are notified of this approval.</w:t>
      </w:r>
    </w:p>
    <w:p>
      <w:pPr>
        <w:pStyle w:val="LO-normal"/>
        <w:numPr>
          <w:ilvl w:val="0"/>
          <w:numId w:val="9"/>
        </w:numPr>
        <w:spacing w:lineRule="auto" w:line="360"/>
        <w:rPr>
          <w:rFonts w:ascii="Plus Jakarta Sans" w:hAnsi="Plus Jakarta Sans"/>
          <w:sz w:val="24"/>
          <w:szCs w:val="24"/>
        </w:rPr>
      </w:pPr>
      <w:r>
        <w:rPr>
          <w:rFonts w:ascii="Plus Jakarta Sans" w:hAnsi="Plus Jakarta Sans"/>
          <w:sz w:val="24"/>
          <w:szCs w:val="24"/>
        </w:rPr>
        <w:t xml:space="preserve">Integration: approved contributions are merged into project repositories or integrated into services. </w:t>
      </w:r>
    </w:p>
    <w:p>
      <w:pPr>
        <w:pStyle w:val="Heading2"/>
        <w:rPr>
          <w:rFonts w:ascii="Plus Jakarta Sans" w:hAnsi="Plus Jakarta Sans"/>
        </w:rPr>
      </w:pPr>
      <w:r>
        <w:rPr>
          <w:rFonts w:ascii="Plus Jakarta Sans" w:hAnsi="Plus Jakarta Sans"/>
        </w:rPr>
        <w:t>5.4.- ACKNOWLEDGMENT</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The Acknowledgment stage includes these actions and requirements:</w:t>
      </w:r>
    </w:p>
    <w:p>
      <w:pPr>
        <w:pStyle w:val="LO-normal"/>
        <w:numPr>
          <w:ilvl w:val="0"/>
          <w:numId w:val="10"/>
        </w:numPr>
        <w:spacing w:lineRule="auto" w:line="360"/>
        <w:rPr/>
      </w:pPr>
      <w:r>
        <w:rPr>
          <w:rFonts w:ascii="Plus Jakarta Sans" w:hAnsi="Plus Jakarta Sans"/>
          <w:sz w:val="24"/>
          <w:szCs w:val="24"/>
        </w:rPr>
        <w:t xml:space="preserve">Attribution: Contributors are acknowledged in project documentation, release notes,  contributor lists and in any additional channel, tool, collateral or material designated by the  Project. </w:t>
      </w:r>
    </w:p>
    <w:p>
      <w:pPr>
        <w:pStyle w:val="LO-normal"/>
        <w:numPr>
          <w:ilvl w:val="0"/>
          <w:numId w:val="10"/>
        </w:numPr>
        <w:spacing w:lineRule="auto" w:line="360"/>
        <w:rPr>
          <w:rFonts w:ascii="Plus Jakarta Sans" w:hAnsi="Plus Jakarta Sans"/>
          <w:sz w:val="24"/>
          <w:szCs w:val="24"/>
        </w:rPr>
      </w:pPr>
      <w:r>
        <w:rPr>
          <w:rFonts w:ascii="Plus Jakarta Sans" w:hAnsi="Plus Jakarta Sans"/>
          <w:sz w:val="24"/>
          <w:szCs w:val="24"/>
        </w:rPr>
        <w:t>Notification: Contributors and relevant community members are notified of successful integration</w:t>
      </w:r>
    </w:p>
    <w:p>
      <w:pPr>
        <w:pStyle w:val="Normal"/>
        <w:widowControl w:val="false"/>
        <w:bidi w:val="0"/>
        <w:spacing w:lineRule="auto" w:line="276"/>
        <w:ind w:hanging="0" w:left="0" w:right="0"/>
        <w:jc w:val="both"/>
        <w:rPr>
          <w:rFonts w:ascii="Plus Jakarta Sans" w:hAnsi="Plus Jakarta Sans"/>
          <w:sz w:val="24"/>
          <w:szCs w:val="24"/>
        </w:rPr>
      </w:pPr>
      <w:r>
        <w:rPr>
          <w:rFonts w:ascii="Plus Jakarta Sans" w:hAnsi="Plus Jakarta Sans"/>
          <w:sz w:val="24"/>
          <w:szCs w:val="24"/>
        </w:rPr>
      </w:r>
    </w:p>
    <w:p>
      <w:pPr>
        <w:pStyle w:val="Heading1"/>
        <w:jc w:val="center"/>
        <w:rPr>
          <w:rFonts w:ascii="Plus Jakarta Sans" w:hAnsi="Plus Jakarta Sans"/>
          <w:b/>
          <w:bCs/>
        </w:rPr>
      </w:pPr>
      <w:r>
        <w:rPr>
          <w:rFonts w:ascii="Plus Jakarta Sans" w:hAnsi="Plus Jakarta Sans"/>
          <w:b/>
          <w:bCs/>
        </w:rPr>
        <w:t>6.- RIGHTS AND RESPONSIBILITIES</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The following rights and responsibilities rely on the Contributors and on STF:</w:t>
      </w:r>
    </w:p>
    <w:p>
      <w:pPr>
        <w:pStyle w:val="LO-normal"/>
        <w:numPr>
          <w:ilvl w:val="0"/>
          <w:numId w:val="14"/>
        </w:numPr>
        <w:spacing w:lineRule="auto" w:line="360"/>
        <w:rPr>
          <w:rFonts w:ascii="Plus Jakarta Sans" w:hAnsi="Plus Jakarta Sans"/>
          <w:sz w:val="24"/>
          <w:szCs w:val="24"/>
        </w:rPr>
      </w:pPr>
      <w:r>
        <w:rPr>
          <w:rFonts w:ascii="Plus Jakarta Sans" w:hAnsi="Plus Jakarta Sans"/>
          <w:sz w:val="24"/>
          <w:szCs w:val="24"/>
        </w:rPr>
        <w:t>Contributor Rights. Contributors...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retain copyright ownership of their original contributions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may use their contributions in other projects subject to applicable licenses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receive public acknowledgment for accepted contributions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may participate in project governance according to established meritocracy principles</w:t>
      </w:r>
    </w:p>
    <w:p>
      <w:pPr>
        <w:pStyle w:val="LO-normal"/>
        <w:numPr>
          <w:ilvl w:val="0"/>
          <w:numId w:val="14"/>
        </w:numPr>
        <w:spacing w:lineRule="auto" w:line="360"/>
        <w:rPr>
          <w:rFonts w:ascii="Plus Jakarta Sans" w:hAnsi="Plus Jakarta Sans"/>
          <w:sz w:val="24"/>
          <w:szCs w:val="24"/>
        </w:rPr>
      </w:pPr>
      <w:r>
        <w:rPr>
          <w:rFonts w:ascii="Plus Jakarta Sans" w:hAnsi="Plus Jakarta Sans"/>
          <w:sz w:val="24"/>
          <w:szCs w:val="24"/>
        </w:rPr>
        <w:t>Contributor Responsibilities. Contributors…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ensure legal authority to make contributions and grant required rights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verify that contributions do not infringe third-party intellectual property rights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follow project-specific contribution guidelines and coding standards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respond promptly to review feedback and address identified issues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maintain confidentiality of any sensitive information encountered during contribution process</w:t>
      </w:r>
    </w:p>
    <w:p>
      <w:pPr>
        <w:pStyle w:val="LO-normal"/>
        <w:numPr>
          <w:ilvl w:val="0"/>
          <w:numId w:val="14"/>
        </w:numPr>
        <w:spacing w:lineRule="auto" w:line="360"/>
        <w:rPr>
          <w:rFonts w:ascii="Plus Jakarta Sans" w:hAnsi="Plus Jakarta Sans"/>
          <w:sz w:val="24"/>
          <w:szCs w:val="24"/>
        </w:rPr>
      </w:pPr>
      <w:r>
        <w:rPr>
          <w:rFonts w:ascii="Plus Jakarta Sans" w:hAnsi="Plus Jakarta Sans"/>
          <w:sz w:val="24"/>
          <w:szCs w:val="24"/>
        </w:rPr>
        <w:t>Software Transparency Foundation Rights and Responsibilities. STF…</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receives necessary rights to use, publish, modify, and distribute contributions under project licenses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commits to using contributions only in accordance with stated project licenses and Foundation principles</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will provide fair consideration of all contributions based on technical merit</w:t>
      </w:r>
    </w:p>
    <w:p>
      <w:pPr>
        <w:pStyle w:val="LO-normal"/>
        <w:numPr>
          <w:ilvl w:val="1"/>
          <w:numId w:val="14"/>
        </w:numPr>
        <w:spacing w:lineRule="auto" w:line="360"/>
        <w:rPr>
          <w:rFonts w:ascii="Plus Jakarta Sans" w:hAnsi="Plus Jakarta Sans"/>
          <w:sz w:val="24"/>
          <w:szCs w:val="24"/>
        </w:rPr>
      </w:pPr>
      <w:r>
        <w:rPr>
          <w:rFonts w:ascii="Plus Jakarta Sans" w:hAnsi="Plus Jakarta Sans"/>
          <w:sz w:val="24"/>
          <w:szCs w:val="24"/>
        </w:rPr>
        <w:t>STF will maintain appropriate records of contributions and contributor agreements</w:t>
      </w:r>
    </w:p>
    <w:p>
      <w:pPr>
        <w:pStyle w:val="LO-normal"/>
        <w:jc w:val="center"/>
        <w:rPr>
          <w:rFonts w:ascii="Plus Jakarta Sans" w:hAnsi="Plus Jakarta Sans"/>
          <w:b/>
          <w:bCs/>
        </w:rPr>
      </w:pPr>
      <w:r>
        <w:rPr>
          <w:rFonts w:ascii="Plus Jakarta Sans" w:hAnsi="Plus Jakarta Sans"/>
          <w:b/>
          <w:bCs/>
        </w:rPr>
      </w:r>
    </w:p>
    <w:p>
      <w:pPr>
        <w:pStyle w:val="LO-normal"/>
        <w:rPr>
          <w:rFonts w:ascii="Plus Jakarta Sans" w:hAnsi="Plus Jakarta Sans"/>
        </w:rPr>
      </w:pPr>
      <w:r>
        <w:rPr>
          <w:rFonts w:ascii="Plus Jakarta Sans" w:hAnsi="Plus Jakarta Sans"/>
        </w:rPr>
      </w:r>
    </w:p>
    <w:p>
      <w:pPr>
        <w:pStyle w:val="Heading1"/>
        <w:jc w:val="center"/>
        <w:rPr>
          <w:rFonts w:ascii="Plus Jakarta Sans" w:hAnsi="Plus Jakarta Sans"/>
        </w:rPr>
      </w:pPr>
      <w:r>
        <w:rPr>
          <w:rFonts w:ascii="Plus Jakarta Sans" w:hAnsi="Plus Jakarta Sans"/>
          <w:b/>
          <w:bCs/>
        </w:rPr>
        <w:t>7.- SPECIAL CONTRIBUTIONS</w:t>
      </w:r>
    </w:p>
    <w:p>
      <w:pPr>
        <w:pStyle w:val="LO-normal"/>
        <w:jc w:val="center"/>
        <w:rPr>
          <w:rFonts w:ascii="Plus Jakarta Sans" w:hAnsi="Plus Jakarta Sans"/>
          <w:b/>
          <w:bCs/>
        </w:rPr>
      </w:pPr>
      <w:r>
        <w:rPr>
          <w:rFonts w:ascii="Plus Jakarta Sans" w:hAnsi="Plus Jakarta Sans"/>
          <w:b/>
          <w:bCs/>
        </w:rPr>
      </w:r>
    </w:p>
    <w:p>
      <w:pPr>
        <w:pStyle w:val="BodyText"/>
        <w:spacing w:lineRule="auto" w:line="360"/>
        <w:jc w:val="left"/>
        <w:rPr>
          <w:rFonts w:ascii="Plus Jakarta Sans" w:hAnsi="Plus Jakarta Sans"/>
          <w:sz w:val="24"/>
          <w:szCs w:val="24"/>
        </w:rPr>
      </w:pPr>
      <w:r>
        <w:rPr>
          <w:rFonts w:ascii="Plus Jakarta Sans" w:hAnsi="Plus Jakarta Sans"/>
          <w:sz w:val="24"/>
          <w:szCs w:val="24"/>
        </w:rPr>
      </w:r>
    </w:p>
    <w:p>
      <w:pPr>
        <w:pStyle w:val="BodyText"/>
        <w:spacing w:lineRule="auto" w:line="360"/>
        <w:jc w:val="left"/>
        <w:rPr>
          <w:rFonts w:ascii="Plus Jakarta Sans" w:hAnsi="Plus Jakarta Sans"/>
          <w:sz w:val="24"/>
          <w:szCs w:val="24"/>
        </w:rPr>
      </w:pPr>
      <w:r>
        <w:rPr>
          <w:rFonts w:ascii="Plus Jakarta Sans" w:hAnsi="Plus Jakarta Sans"/>
          <w:sz w:val="24"/>
          <w:szCs w:val="24"/>
        </w:rPr>
        <w:t xml:space="preserve">In addition to regular contributions, the Software Transparency Foundation (STF) welcomes </w:t>
      </w:r>
      <w:r>
        <w:rPr>
          <w:rStyle w:val="Strong"/>
          <w:rFonts w:ascii="Plus Jakarta Sans" w:hAnsi="Plus Jakarta Sans"/>
          <w:b w:val="false"/>
          <w:bCs w:val="false"/>
          <w:sz w:val="24"/>
          <w:szCs w:val="24"/>
        </w:rPr>
        <w:t>special contributions</w:t>
      </w:r>
      <w:r>
        <w:rPr>
          <w:rFonts w:ascii="Plus Jakarta Sans" w:hAnsi="Plus Jakarta Sans"/>
          <w:b w:val="false"/>
          <w:bCs w:val="false"/>
          <w:sz w:val="24"/>
          <w:szCs w:val="24"/>
        </w:rPr>
        <w:t xml:space="preserve">, </w:t>
      </w:r>
      <w:r>
        <w:rPr>
          <w:rFonts w:ascii="Plus Jakarta Sans" w:hAnsi="Plus Jakarta Sans"/>
          <w:sz w:val="24"/>
          <w:szCs w:val="24"/>
        </w:rPr>
        <w:t xml:space="preserve">including one-time donations of assets such as datasets or curated archives, operational services and platforms, existing software projects or codebases, documentations and educational materials, intellectual property rights, infrastructure and hardware resources, and other digital or physical resources that can benefit STF Programs or Projects. </w:t>
      </w:r>
      <w:r>
        <w:rPr>
          <w:rFonts w:ascii="Plus Jakarta Sans" w:hAnsi="Plus Jakarta Sans"/>
          <w:b w:val="false"/>
          <w:bCs w:val="false"/>
          <w:sz w:val="24"/>
          <w:szCs w:val="24"/>
        </w:rPr>
        <w:t xml:space="preserve">Special contributions differ from standard contributions in terms of their </w:t>
      </w:r>
      <w:r>
        <w:rPr>
          <w:rStyle w:val="Strong"/>
          <w:rFonts w:ascii="Plus Jakarta Sans" w:hAnsi="Plus Jakarta Sans"/>
          <w:b w:val="false"/>
          <w:bCs w:val="false"/>
          <w:sz w:val="24"/>
          <w:szCs w:val="24"/>
        </w:rPr>
        <w:t>origin, size, nature, or strategic relevance</w:t>
      </w:r>
      <w:r>
        <w:rPr>
          <w:rFonts w:ascii="Plus Jakarta Sans" w:hAnsi="Plus Jakarta Sans"/>
          <w:b w:val="false"/>
          <w:bCs w:val="false"/>
          <w:sz w:val="24"/>
          <w:szCs w:val="24"/>
        </w:rPr>
        <w:t>, and may involve pre-existing works or substantial resource transfers.</w:t>
      </w:r>
    </w:p>
    <w:p>
      <w:pPr>
        <w:pStyle w:val="LO-normal"/>
        <w:spacing w:lineRule="auto" w:line="360"/>
        <w:jc w:val="left"/>
        <w:rPr>
          <w:rFonts w:ascii="Plus Jakarta Sans" w:hAnsi="Plus Jakarta Sans"/>
          <w:sz w:val="24"/>
          <w:szCs w:val="24"/>
        </w:rPr>
      </w:pPr>
      <w:r>
        <w:rPr>
          <w:rFonts w:ascii="Plus Jakarta Sans" w:hAnsi="Plus Jakarta Sans"/>
          <w:sz w:val="24"/>
          <w:szCs w:val="24"/>
        </w:rPr>
      </w:r>
    </w:p>
    <w:p>
      <w:pPr>
        <w:pStyle w:val="LO-normal"/>
        <w:spacing w:lineRule="auto" w:line="360"/>
        <w:jc w:val="left"/>
        <w:rPr>
          <w:rFonts w:ascii="Plus Jakarta Sans" w:hAnsi="Plus Jakarta Sans"/>
          <w:sz w:val="24"/>
          <w:szCs w:val="24"/>
        </w:rPr>
      </w:pPr>
      <w:r>
        <w:rPr>
          <w:rFonts w:ascii="Plus Jakarta Sans" w:hAnsi="Plus Jakarta Sans"/>
          <w:sz w:val="24"/>
          <w:szCs w:val="24"/>
        </w:rPr>
        <w:t xml:space="preserve">In addition to the corresponding requirements established by this policy, the Programs Steering Committee, guided by the STF Governing Board, might define a specific contribution process, including additional requirements, adapted to the nature and usage of the asset. Some of these requirements can be related with the effort needed to review and accept those assets as contributions. </w:t>
      </w:r>
    </w:p>
    <w:p>
      <w:pPr>
        <w:pStyle w:val="LO-normal"/>
        <w:spacing w:lineRule="auto" w:line="360"/>
        <w:jc w:val="left"/>
        <w:rPr>
          <w:rFonts w:ascii="Plus Jakarta Sans" w:hAnsi="Plus Jakarta Sans"/>
          <w:sz w:val="24"/>
          <w:szCs w:val="24"/>
        </w:rPr>
      </w:pPr>
      <w:r>
        <w:rPr>
          <w:rFonts w:ascii="Plus Jakarta Sans" w:hAnsi="Plus Jakarta Sans"/>
          <w:sz w:val="24"/>
          <w:szCs w:val="24"/>
        </w:rPr>
      </w:r>
    </w:p>
    <w:p>
      <w:pPr>
        <w:pStyle w:val="LO-normal"/>
        <w:spacing w:lineRule="auto" w:line="360"/>
        <w:jc w:val="left"/>
        <w:rPr>
          <w:rFonts w:ascii="Plus Jakarta Sans" w:hAnsi="Plus Jakarta Sans"/>
          <w:sz w:val="24"/>
          <w:szCs w:val="24"/>
        </w:rPr>
      </w:pPr>
      <w:r>
        <w:rPr>
          <w:rFonts w:ascii="Plus Jakarta Sans" w:hAnsi="Plus Jakarta Sans"/>
          <w:sz w:val="24"/>
          <w:szCs w:val="24"/>
        </w:rPr>
        <w:t xml:space="preserve">Depending on the nature of the accept and complexity of the review and acceptance process, the Programs Steering Committee might adapt the Contribution Process timeline. </w:t>
      </w:r>
    </w:p>
    <w:p>
      <w:pPr>
        <w:pStyle w:val="LO-normal"/>
        <w:spacing w:lineRule="auto" w:line="360"/>
        <w:jc w:val="left"/>
        <w:rPr>
          <w:rFonts w:ascii="Plus Jakarta Sans" w:hAnsi="Plus Jakarta Sans"/>
          <w:sz w:val="24"/>
          <w:szCs w:val="24"/>
        </w:rPr>
      </w:pPr>
      <w:r>
        <w:rPr>
          <w:rFonts w:ascii="Plus Jakarta Sans" w:hAnsi="Plus Jakarta Sans"/>
          <w:sz w:val="24"/>
          <w:szCs w:val="24"/>
        </w:rPr>
      </w:r>
    </w:p>
    <w:p>
      <w:pPr>
        <w:pStyle w:val="LO-normal"/>
        <w:spacing w:lineRule="auto" w:line="360"/>
        <w:jc w:val="center"/>
        <w:rPr>
          <w:rFonts w:ascii="Plus Jakarta Sans" w:hAnsi="Plus Jakarta Sans"/>
        </w:rPr>
      </w:pPr>
      <w:r>
        <w:rPr>
          <w:rFonts w:ascii="Plus Jakarta Sans" w:hAnsi="Plus Jakarta Sans"/>
        </w:rPr>
        <w:t>END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680" w:right="680" w:gutter="0" w:header="680" w:top="1587" w:footer="68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BM Plex Sans">
    <w:charset w:val="01"/>
    <w:family w:val="roman"/>
    <w:pitch w:val="variable"/>
  </w:font>
  <w:font w:name="IBM Plex Serif">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IBM Plex Sans Condensed">
    <w:charset w:val="01"/>
    <w:family w:val="roman"/>
    <w:pitch w:val="variable"/>
  </w:font>
  <w:font w:name="Plus Jakarta Sans">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10</w:t>
    </w:r>
    <w:r>
      <w:rPr>
        <w:sz w:val="12"/>
        <w:szCs w:val="12"/>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10</w:t>
    </w:r>
    <w:r>
      <w:rPr>
        <w:sz w:val="12"/>
        <w:szCs w:val="12"/>
        <w:color w:val="66666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847"/>
        </w:tabs>
        <w:ind w:left="847" w:hanging="360"/>
      </w:pPr>
      <w:rPr>
        <w:rFonts w:ascii="Symbol" w:hAnsi="Symbol" w:cs="Symbol" w:hint="default"/>
      </w:rPr>
    </w:lvl>
    <w:lvl w:ilvl="1">
      <w:start w:val="1"/>
      <w:numFmt w:val="bullet"/>
      <w:lvlText w:val="◦"/>
      <w:lvlJc w:val="left"/>
      <w:pPr>
        <w:tabs>
          <w:tab w:val="num" w:pos="1207"/>
        </w:tabs>
        <w:ind w:left="1207" w:hanging="360"/>
      </w:pPr>
      <w:rPr>
        <w:rFonts w:ascii="OpenSymbol" w:hAnsi="OpenSymbol" w:cs="OpenSymbol" w:hint="default"/>
      </w:rPr>
    </w:lvl>
    <w:lvl w:ilvl="2">
      <w:start w:val="1"/>
      <w:numFmt w:val="bullet"/>
      <w:lvlText w:val="▪"/>
      <w:lvlJc w:val="left"/>
      <w:pPr>
        <w:tabs>
          <w:tab w:val="num" w:pos="1567"/>
        </w:tabs>
        <w:ind w:left="1567" w:hanging="360"/>
      </w:pPr>
      <w:rPr>
        <w:rFonts w:ascii="OpenSymbol" w:hAnsi="OpenSymbol" w:cs="OpenSymbol" w:hint="default"/>
      </w:rPr>
    </w:lvl>
    <w:lvl w:ilvl="3">
      <w:start w:val="1"/>
      <w:numFmt w:val="bullet"/>
      <w:lvlText w:val=""/>
      <w:lvlJc w:val="left"/>
      <w:pPr>
        <w:tabs>
          <w:tab w:val="num" w:pos="1927"/>
        </w:tabs>
        <w:ind w:left="1927" w:hanging="360"/>
      </w:pPr>
      <w:rPr>
        <w:rFonts w:ascii="Symbol" w:hAnsi="Symbol" w:cs="Symbol" w:hint="default"/>
      </w:rPr>
    </w:lvl>
    <w:lvl w:ilvl="4">
      <w:start w:val="1"/>
      <w:numFmt w:val="bullet"/>
      <w:lvlText w:val="◦"/>
      <w:lvlJc w:val="left"/>
      <w:pPr>
        <w:tabs>
          <w:tab w:val="num" w:pos="2287"/>
        </w:tabs>
        <w:ind w:left="2287" w:hanging="360"/>
      </w:pPr>
      <w:rPr>
        <w:rFonts w:ascii="OpenSymbol" w:hAnsi="OpenSymbol" w:cs="OpenSymbol" w:hint="default"/>
      </w:rPr>
    </w:lvl>
    <w:lvl w:ilvl="5">
      <w:start w:val="1"/>
      <w:numFmt w:val="bullet"/>
      <w:lvlText w:val="▪"/>
      <w:lvlJc w:val="left"/>
      <w:pPr>
        <w:tabs>
          <w:tab w:val="num" w:pos="2647"/>
        </w:tabs>
        <w:ind w:left="2647" w:hanging="360"/>
      </w:pPr>
      <w:rPr>
        <w:rFonts w:ascii="OpenSymbol" w:hAnsi="OpenSymbol" w:cs="OpenSymbol" w:hint="default"/>
      </w:rPr>
    </w:lvl>
    <w:lvl w:ilvl="6">
      <w:start w:val="1"/>
      <w:numFmt w:val="bullet"/>
      <w:lvlText w:val=""/>
      <w:lvlJc w:val="left"/>
      <w:pPr>
        <w:tabs>
          <w:tab w:val="num" w:pos="3007"/>
        </w:tabs>
        <w:ind w:left="3007" w:hanging="360"/>
      </w:pPr>
      <w:rPr>
        <w:rFonts w:ascii="Symbol" w:hAnsi="Symbol" w:cs="Symbol" w:hint="default"/>
      </w:rPr>
    </w:lvl>
    <w:lvl w:ilvl="7">
      <w:start w:val="1"/>
      <w:numFmt w:val="bullet"/>
      <w:lvlText w:val="◦"/>
      <w:lvlJc w:val="left"/>
      <w:pPr>
        <w:tabs>
          <w:tab w:val="num" w:pos="3367"/>
        </w:tabs>
        <w:ind w:left="3367" w:hanging="360"/>
      </w:pPr>
      <w:rPr>
        <w:rFonts w:ascii="OpenSymbol" w:hAnsi="OpenSymbol" w:cs="OpenSymbol" w:hint="default"/>
      </w:rPr>
    </w:lvl>
    <w:lvl w:ilvl="8">
      <w:start w:val="1"/>
      <w:numFmt w:val="bullet"/>
      <w:lvlText w:val="▪"/>
      <w:lvlJc w:val="left"/>
      <w:pPr>
        <w:tabs>
          <w:tab w:val="num" w:pos="3727"/>
        </w:tabs>
        <w:ind w:left="3727"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202"/>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BM Plex Sans" w:hAnsi="IBM Plex Sans" w:eastAsia="IBM Plex Sans" w:cs="IBM Plex Sans"/>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spacing w:lineRule="auto" w:line="240" w:before="360" w:after="120"/>
    </w:pPr>
    <w:rPr>
      <w:rFonts w:ascii="IBM Plex Serif" w:hAnsi="IBM Plex Serif" w:eastAsia="IBM Plex Serif" w:cs="IBM Plex Serif"/>
      <w:b/>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O-normal">
    <w:name w:val="LO-normal"/>
    <w:qFormat/>
    <w:pPr>
      <w:widowControl/>
      <w:suppressAutoHyphens w:val="true"/>
      <w:overflowPunct w:val="tru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0" w:after="60"/>
      <w:jc w:val="right"/>
    </w:pPr>
    <w:rPr>
      <w:rFonts w:ascii="IBM Plex Serif" w:hAnsi="IBM Plex Serif" w:eastAsia="IBM Plex Serif" w:cs="IBM Plex Serif"/>
      <w:b/>
      <w:sz w:val="52"/>
      <w:szCs w:val="52"/>
    </w:rPr>
  </w:style>
  <w:style w:type="paragraph" w:styleId="Subtitle">
    <w:name w:val="Subtitle"/>
    <w:basedOn w:val="LO-normal"/>
    <w:next w:val="LO-normal"/>
    <w:qFormat/>
    <w:pPr>
      <w:keepNext w:val="true"/>
      <w:keepLines/>
      <w:spacing w:lineRule="auto" w:line="240" w:before="0" w:after="320"/>
    </w:pPr>
    <w:rPr>
      <w:rFonts w:ascii="IBM Plex Sans Condensed" w:hAnsi="IBM Plex Sans Condensed" w:eastAsia="IBM Plex Sans Condensed" w:cs="IBM Plex Sans Condensed"/>
      <w:color w:val="78716C"/>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before="56" w:after="0"/>
      <w:ind w:left="56" w:right="56"/>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1313</TotalTime>
  <Application>LibreOffice/24.8.7.2$Linux_X86_64 LibreOffice_project/480$Build-2</Application>
  <AppVersion>15.0000</AppVersion>
  <Pages>10</Pages>
  <Words>1893</Words>
  <Characters>12189</Characters>
  <CharactersWithSpaces>13850</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Agustín Benito Bethencourt</cp:lastModifiedBy>
  <cp:lastPrinted>2025-06-13T14:09:15Z</cp:lastPrinted>
  <dcterms:modified xsi:type="dcterms:W3CDTF">2025-11-11T19:12:52Z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file>