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COPYABLE TABULAR DIAGRAM FOR B.TECH SYNOPSIS</w:t>
      </w:r>
    </w:p>
    <w:p>
      <w:pPr>
        <w:spacing w:after="320" w:line="276" w:lineRule="auto"/>
        <w:jc w:val="center"/>
      </w:pPr>
      <w:r>
        <w:rPr>
          <w:rFonts w:ascii="Times New Roman" w:hAnsi="Times New Roman" w:cs="Times New Roman"/>
          <w:b w:val="0"/>
          <w:i/>
          <w:color w:val="5A5A5A"/>
          <w:sz w:val="20"/>
        </w:rPr>
        <w:t>How to use: Simply select the diagram table below, press Ctrl + C (Copy), and press Ctrl + V (Paste) into Section 5 of your project synopsis report. All borders, shading, font sizes (Times New Roman), and alignments are fully preserved.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4"/>
            <w:gridSpan w:val="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RAW BENCHMARK DATASET INGESTION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8"/>
              </w:rPr>
              <w:t>(CIFAR-10, CIFAR-10N, MNIST, Fashion-MNIST, UCI Tabular Datasets)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E8E8E8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DATASET QUALITY ANALYZER ENGINE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8"/>
              </w:rPr>
              <w:t>(Multi-Engine Automated Vulnerability Identification)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Missing Values Detection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7"/>
              </w:rPr>
              <w:t>Statistical Imputation &amp; Feature Sparsity Flags</w:t>
            </w:r>
          </w:p>
        </w:tc>
        <w:tc>
          <w:tcPr>
            <w:tcW w:type="dxa" w:w="425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Locality-Sensitive Duplicates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7"/>
              </w:rPr>
              <w:t>Cryptographic Hashing (MD5) &amp; LSH MinHash (&gt;0.98)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Label Error Detection (CL)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7"/>
              </w:rPr>
              <w:t>Confident Learning Joint Probability Matrix C_y_tilde,y</w:t>
            </w:r>
          </w:p>
        </w:tc>
        <w:tc>
          <w:tcPr>
            <w:tcW w:type="dxa" w:w="425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Isolation Forest Outliers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7"/>
              </w:rPr>
              <w:t>Multidimensional Random Tree Path Anomaly Scoring</w:t>
            </w:r>
          </w:p>
        </w:tc>
      </w:tr>
      <w:tr>
        <w:tc>
          <w:tcPr>
            <w:tcW w:type="dxa" w:w="8504"/>
            <w:gridSpan w:val="2"/>
            <w:shd w:fill="FFFFFF" w:val="clea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Shannon Entropy Class Imbalance Analysis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7"/>
              </w:rPr>
              <w:t>Normalized Distribution Entropy H(Y) &amp; Gini Impurity Skew Index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E8E8E8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UNIFIED DATASET QUALITY SCORING (UDQS ∈ [0, 100])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8"/>
              </w:rPr>
              <w:t>Weighted Composite Defect Index: UDQS = 100 × (1 − ∑ w_i · Defect_i)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AUTOMATED DATASET REMEDIATION &amp; FILTERING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8"/>
              </w:rPr>
              <w:t>Pruning High-Confidence Noise, Consensus Re-labeling, Median Imputation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E8E8E8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DOWNSTREAM CLASSIFIER INDUCTION &amp; RETRAINING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8"/>
              </w:rPr>
              <w:t>Random Forest, XGBoost, Decision Tree, Logistic Regression, Shallow MLP</w:t>
            </w:r>
          </w:p>
        </w:tc>
      </w:tr>
      <w:tr>
        <w:tc>
          <w:tcPr>
            <w:tcW w:type="dxa" w:w="8504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w="40" w:type="dxa"/>
              <w:bottom w:w="40" w:type="dxa"/>
              <w:left w:w="150" w:type="dxa"/>
              <w:right w:w="150" w:type="dxa"/>
            </w:tcMar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6"/>
              </w:rPr>
              <w:t>▼</w:t>
            </w:r>
          </w:p>
        </w:tc>
      </w:tr>
      <w:tr>
        <w:tc>
          <w:tcPr>
            <w:tcW w:type="dxa" w:w="8504"/>
            <w:gridSpan w:val="2"/>
            <w:shd w:fill="F5F5F5" w:val="clea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EMPIRICAL EVALUATION &amp; STREAMLIT SOC DASHBOARD</w:t>
            </w:r>
          </w:p>
          <w:p>
            <w:pPr>
              <w:spacing w:before="0" w:after="40" w:line="264" w:lineRule="auto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3C3C3C"/>
                <w:sz w:val="18"/>
              </w:rPr>
              <w:t>Comparative Accuracy/F1 Recovery Ratios (ARR), Confusion Matrices, t-SNE Projections</w:t>
            </w:r>
          </w:p>
        </w:tc>
      </w:tr>
    </w:tbl>
    <w:p>
      <w:pPr>
        <w:spacing w:before="160" w:after="560"/>
        <w:jc w:val="center"/>
      </w:pPr>
      <w:r>
        <w:rPr>
          <w:rFonts w:ascii="Times New Roman" w:hAnsi="Times New Roman" w:cs="Times New Roman"/>
          <w:b/>
          <w:i/>
          <w:color w:val="000000"/>
          <w:sz w:val="22"/>
        </w:rPr>
        <w:t>Figure 1: Architectural Blueprint of the Proposed Dataset Quality Scoring Pipeline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Alternative Format: Detailed Architectural Specification Table</w:t>
      </w:r>
    </w:p>
    <w:p>
      <w:pPr>
        <w:spacing w:after="160" w:line="276" w:lineRule="auto"/>
      </w:pPr>
      <w:r>
        <w:rPr>
          <w:rFonts w:ascii="Times New Roman" w:hAnsi="Times New Roman" w:cs="Times New Roman"/>
          <w:b w:val="0"/>
          <w:i/>
          <w:color w:val="5A5A5A"/>
          <w:sz w:val="20"/>
        </w:rPr>
        <w:t>If your supervisor or department prefers a formal academic matrix instead of a flowchart box layout, you can copy this table instead:</w:t>
      </w:r>
    </w:p>
    <w:p>
      <w:pPr>
        <w:spacing w:before="80" w:after="8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2"/>
        </w:rPr>
        <w:t>Table 1.1: Comprehensive Functional Pipeline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fill="E6E6E6" w:val="clea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Pipeline Stage</w:t>
            </w:r>
          </w:p>
        </w:tc>
        <w:tc>
          <w:tcPr>
            <w:tcW w:type="dxa" w:w="2381"/>
            <w:shd w:fill="E6E6E6" w:val="clea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Core Component / Module</w:t>
            </w:r>
          </w:p>
        </w:tc>
        <w:tc>
          <w:tcPr>
            <w:tcW w:type="dxa" w:w="3175"/>
            <w:shd w:fill="E6E6E6" w:val="clea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Underlying Algorithms &amp; Methodologies</w:t>
            </w:r>
          </w:p>
        </w:tc>
        <w:tc>
          <w:tcPr>
            <w:tcW w:type="dxa" w:w="2041"/>
            <w:shd w:fill="E6E6E6" w:val="clear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9"/>
              </w:rPr>
              <w:t>Output Artifacts &amp; Downstream Action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1:</w:t>
              <w:br/>
              <w:t>Ingestion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Raw Benchmark Corpus Ingestion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Standardized ingestion of CIFAR-10, CIFAR-10N (human noise), MNIST, and UCI tabular datasets. Canonical train/test stratified splitting (80/20).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Preprocessed feature tensors and normalized tabular dataframes.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2:</w:t>
              <w:br/>
              <w:t>Diagnostics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Dataset Quality Analyzer Engine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• Missingness: MCAR analysis &amp; median imputation flags</w:t>
              <w:br/>
              <w:t>• Duplicates: MD5/SHA-256 exact hashes &amp; LSH MinHash</w:t>
              <w:br/>
              <w:t>• Label Errors: Confident Learning out-of-fold probability thresholds</w:t>
              <w:br/>
              <w:t>• Outliers: Isolation Forest path length anomaly scoring</w:t>
              <w:br/>
              <w:t>• Imbalance: Shannon entropy H(Y) &amp; Gini impurity index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Boolean anomaly index arrays, defect density vectors, and candidate error flags.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3:</w:t>
              <w:br/>
              <w:t>Scoring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Unified Dataset Quality Scoring (UDQS)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Mathematical synthesis into a continuous bounded metric:</w:t>
              <w:br/>
              <w:t>UDQS = 100 × (1 − ∑ w_i · Defect_i), with default weights prioritizing label integrity (w_1=0.35, w_2=0.20, w_3=0.20, w_4=0.15, w_5=0.10).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Single standardized composite Dataset Health Score (0–100 scale).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4:</w:t>
              <w:br/>
              <w:t>Remediation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Automated Cleaning Engine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Dual remediation policies:</w:t>
              <w:br/>
              <w:t>(a) High-confidence noise and extreme outlier pruning</w:t>
              <w:br/>
              <w:t>(b) Consensus true-label reassignment (&gt;90% probability certainty)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Curated, verified clean dataset ready for downstream induction.</w:t>
            </w:r>
          </w:p>
        </w:tc>
      </w:tr>
      <w:tr>
        <w:tc>
          <w:tcPr>
            <w:tcW w:type="dxa" w:w="1474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5:</w:t>
              <w:br/>
              <w:t>Induction</w:t>
            </w:r>
          </w:p>
        </w:tc>
        <w:tc>
          <w:tcPr>
            <w:tcW w:type="dxa" w:w="2381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Multi-Model Classifier Induction</w:t>
            </w:r>
          </w:p>
        </w:tc>
        <w:tc>
          <w:tcPr>
            <w:tcW w:type="dxa" w:w="3175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Training and retraining 5 benchmark classifier families:</w:t>
              <w:br/>
              <w:t>Random Forest, Decision Tree, Logistic Regression, XGBoost, and shallow Multilayer Perceptron (MLP).</w:t>
            </w:r>
          </w:p>
        </w:tc>
        <w:tc>
          <w:tcPr>
            <w:tcW w:type="dxa" w:w="2041"/>
            <w:shd w:fill="FAFAF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Trained model artifacts, decision boundaries, and loss/accuracy convergence logs.</w:t>
            </w:r>
          </w:p>
        </w:tc>
      </w:tr>
      <w:tr>
        <w:tc>
          <w:tcPr>
            <w:tcW w:type="dxa" w:w="1474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Stage 6:</w:t>
              <w:br/>
              <w:t>Evaluation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Empirical Validation &amp; Web Dashboard</w:t>
            </w:r>
          </w:p>
        </w:tc>
        <w:tc>
          <w:tcPr>
            <w:tcW w:type="dxa" w:w="3175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• Quantitative Accuracy Recovery Ratio (ARR) calculation</w:t>
              <w:br/>
              <w:t>• Comparison against Cleanlab baseline (Precision, Recall, F1)</w:t>
              <w:br/>
              <w:t>• Interactive Streamlit GUI with 2D t-SNE anomaly projections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>Executive PDF/CSV audit reports, interactive ROC/PR curves, and demonstrator.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