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COPYABLE TABULAR DIAGRAM FOR PROJECT 2 SYNOPSIS</w:t>
      </w:r>
    </w:p>
    <w:p>
      <w:pPr>
        <w:spacing w:after="80"/>
        <w:jc w:val="center"/>
      </w:pPr>
      <w:r>
        <w:rPr>
          <w:rFonts w:ascii="Times New Roman" w:hAnsi="Times New Roman" w:cs="Times New Roman"/>
          <w:b/>
          <w:i/>
          <w:color w:val="000000"/>
          <w:sz w:val="22"/>
        </w:rPr>
        <w:t>Cross-Dataset Intrusion Detection: Generalization of Machine-Learning-Based NIDS</w:t>
      </w:r>
    </w:p>
    <w:p>
      <w:pPr>
        <w:spacing w:after="320" w:line="276" w:lineRule="auto"/>
        <w:jc w:val="center"/>
      </w:pPr>
      <w:r>
        <w:rPr>
          <w:rFonts w:ascii="Times New Roman" w:hAnsi="Times New Roman" w:cs="Times New Roman"/>
          <w:b w:val="0"/>
          <w:i/>
          <w:color w:val="5A5A5A"/>
          <w:sz w:val="20"/>
        </w:rPr>
        <w:t>How to use: Simply select the diagram table below using the top-left handle icon (✛), press Ctrl + C (Copy), and press Ctrl + V (Paste) into Section 5 of your Project 2 synopsis report. All borders (solid black), shading (neutral light greys), Times New Roman fonts, and alignments are 100% preserved.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fill="F5F5F5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CICIDS2017 DATASET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7"/>
              </w:rPr>
              <w:t>(80+ Flow Features, CICFlowMeter Extraction)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7"/>
              </w:rPr>
              <w:t>Canadian Institute for Cybersecurity</w:t>
            </w:r>
          </w:p>
        </w:tc>
        <w:tc>
          <w:tcPr>
            <w:tcW w:type="dxa" w:w="4252"/>
            <w:shd w:fill="F5F5F5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UNSW-NB15 DATASET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7"/>
              </w:rPr>
              <w:t>(49 Flow &amp; Content Features, Argus/Zeek)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7"/>
              </w:rPr>
              <w:t>Australian Centre for Cyber Security</w:t>
            </w:r>
          </w:p>
        </w:tc>
      </w:tr>
      <w:tr>
        <w:tc>
          <w:tcPr>
            <w:tcW w:type="dxa" w:w="4252"/>
            <w:tcBorders>
              <w:top w:val="none"/>
              <w:left w:val="none"/>
              <w:bottom w:val="none"/>
              <w:right w:val="none"/>
            </w:tcBorders>
            <w:tcMar>
              <w:top w:w="35" w:type="dxa"/>
              <w:bottom w:w="35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  <w:tc>
          <w:tcPr>
            <w:tcW w:type="dxa" w:w="4252"/>
            <w:tcBorders>
              <w:top w:val="none"/>
              <w:left w:val="none"/>
              <w:bottom w:val="none"/>
              <w:right w:val="none"/>
            </w:tcBorders>
            <w:tcMar>
              <w:top w:w="35" w:type="dxa"/>
              <w:bottom w:w="35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</w:tr>
      <w:tr>
        <w:tc>
          <w:tcPr>
            <w:tcW w:type="dxa" w:w="8504"/>
            <w:gridSpan w:val="2"/>
            <w:shd w:fill="E8E8E8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CANONICAL CLEANING, PREPROCESSING &amp; IMPUTATION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8"/>
              </w:rPr>
              <w:t>(Removal of Infinite/NaN Values, Zero-Variance Feature Pruning, Median Imputation)</w:t>
            </w:r>
          </w:p>
        </w:tc>
      </w:tr>
      <w:tr>
        <w:tc>
          <w:tcPr>
            <w:tcW w:type="dxa" w:w="8504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w="35" w:type="dxa"/>
              <w:bottom w:w="35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</w:tr>
      <w:tr>
        <w:tc>
          <w:tcPr>
            <w:tcW w:type="dxa" w:w="8504"/>
            <w:gridSpan w:val="2"/>
            <w:shd w:fill="F5F5F5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SEMANTIC FEATURE MAPPING &amp; ONTOLOGY ALIGNMENT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8"/>
              </w:rPr>
              <w:t>(Extraction of Common Behavioral Feature Vector Subset: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8"/>
              </w:rPr>
              <w:t>Flow Duration, Packet Rates, Byte Densities, Protocol Flags, Inter-Arrival Statistics)</w:t>
            </w:r>
          </w:p>
        </w:tc>
      </w:tr>
      <w:tr>
        <w:tc>
          <w:tcPr>
            <w:tcW w:type="dxa" w:w="8504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w="35" w:type="dxa"/>
              <w:bottom w:w="35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</w:tr>
      <w:tr>
        <w:tc>
          <w:tcPr>
            <w:tcW w:type="dxa" w:w="8504"/>
            <w:gridSpan w:val="2"/>
            <w:shd w:fill="E8E8E8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BIDIRECTIONAL EXPERIMENTAL HARNESS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8"/>
              </w:rPr>
              <w:t>(Dual-Direction Cross-Environment Evaluation Architecture)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DIRECTION 1: CICIDS → UNSW</w:t>
            </w:r>
          </w:p>
          <w:p>
            <w:pPr>
              <w:spacing w:before="0" w:after="20" w:line="264" w:lineRule="auto"/>
              <w:ind w:left="17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7"/>
              </w:rPr>
              <w:t>• Train: CICIDS2017 (80% Stratified Split)</w:t>
            </w:r>
          </w:p>
          <w:p>
            <w:pPr>
              <w:spacing w:before="0" w:after="20" w:line="264" w:lineRule="auto"/>
              <w:ind w:left="17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7"/>
              </w:rPr>
              <w:t>• Test A: CICIDS2017 (Same-Dataset Baseline)</w:t>
            </w:r>
          </w:p>
          <w:p>
            <w:pPr>
              <w:spacing w:before="0" w:after="20" w:line="264" w:lineRule="auto"/>
              <w:ind w:left="17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7"/>
              </w:rPr>
              <w:t>• Test B: UNSW-NB15 (Zero-Shot Cross-Dataset)</w:t>
            </w:r>
          </w:p>
        </w:tc>
        <w:tc>
          <w:tcPr>
            <w:tcW w:type="dxa" w:w="4252"/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DIRECTION 2: UNSW → CICIDS</w:t>
            </w:r>
          </w:p>
          <w:p>
            <w:pPr>
              <w:spacing w:before="0" w:after="20" w:line="264" w:lineRule="auto"/>
              <w:ind w:left="17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7"/>
              </w:rPr>
              <w:t>• Train: UNSW-NB15 (80% Stratified Split)</w:t>
            </w:r>
          </w:p>
          <w:p>
            <w:pPr>
              <w:spacing w:before="0" w:after="20" w:line="264" w:lineRule="auto"/>
              <w:ind w:left="17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7"/>
              </w:rPr>
              <w:t>• Test C: UNSW-NB15 (Same-Dataset Baseline)</w:t>
            </w:r>
          </w:p>
          <w:p>
            <w:pPr>
              <w:spacing w:before="0" w:after="20" w:line="264" w:lineRule="auto"/>
              <w:ind w:left="17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7"/>
              </w:rPr>
              <w:t>• Test D: CICIDS2017 (Zero-Shot Cross-Dataset)</w:t>
            </w:r>
          </w:p>
        </w:tc>
      </w:tr>
      <w:tr>
        <w:tc>
          <w:tcPr>
            <w:tcW w:type="dxa" w:w="8504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w="35" w:type="dxa"/>
              <w:bottom w:w="35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</w:tr>
      <w:tr>
        <w:tc>
          <w:tcPr>
            <w:tcW w:type="dxa" w:w="8504"/>
            <w:gridSpan w:val="2"/>
            <w:shd w:fill="E8E8E8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FEATURE ALIGNMENT &amp; GENERALIZATION MITIGATION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8"/>
              </w:rPr>
              <w:t>(Mutual Information Selection, CORAL Covariance Alignment, Robust Z-Score Normalization)</w:t>
            </w:r>
          </w:p>
        </w:tc>
      </w:tr>
      <w:tr>
        <w:tc>
          <w:tcPr>
            <w:tcW w:type="dxa" w:w="8504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w="35" w:type="dxa"/>
              <w:bottom w:w="35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</w:tr>
      <w:tr>
        <w:tc>
          <w:tcPr>
            <w:tcW w:type="dxa" w:w="8504"/>
            <w:gridSpan w:val="2"/>
            <w:shd w:fill="F5F5F5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MULTI-MODEL EVALUATION &amp; STREAMLIT SOC DASHBOARD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23232"/>
                <w:sz w:val="18"/>
              </w:rPr>
              <w:t>(Quantifying Generalization Gap, MCC, Macro-F1, Accuracy Recovery Ratio [ARR], ROC Curves)</w:t>
            </w:r>
          </w:p>
        </w:tc>
      </w:tr>
    </w:tbl>
    <w:p>
      <w:pPr>
        <w:spacing w:before="160" w:after="560"/>
        <w:jc w:val="center"/>
      </w:pPr>
      <w:r>
        <w:rPr>
          <w:rFonts w:ascii="Times New Roman" w:hAnsi="Times New Roman" w:cs="Times New Roman"/>
          <w:b/>
          <w:i/>
          <w:color w:val="000000"/>
          <w:sz w:val="22"/>
        </w:rPr>
        <w:t>Figure 1: Architectural Workflow of the Bidirectional Cross-Dataset Intrusion Detection Evaluation Harness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Alternative Format: Comprehensive Cross-Dataset Specification Table</w:t>
      </w:r>
    </w:p>
    <w:p>
      <w:pPr>
        <w:spacing w:after="160" w:line="276" w:lineRule="auto"/>
      </w:pPr>
      <w:r>
        <w:rPr>
          <w:rFonts w:ascii="Times New Roman" w:hAnsi="Times New Roman" w:cs="Times New Roman"/>
          <w:b w:val="0"/>
          <w:i/>
          <w:color w:val="5A5A5A"/>
          <w:sz w:val="20"/>
        </w:rPr>
        <w:t>If your supervisor or department prefers a formal academic matrix instead of a flowchart box layout, you can copy this table instead:</w:t>
      </w:r>
    </w:p>
    <w:p>
      <w:pPr>
        <w:spacing w:before="80" w:after="8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2"/>
        </w:rPr>
        <w:t>Table 1.1: Comprehensive Functional Specification of the Cross-Dataset Evaluation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fill="E6E6E6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9"/>
              </w:rPr>
              <w:t>Pipeline Stage</w:t>
            </w:r>
          </w:p>
        </w:tc>
        <w:tc>
          <w:tcPr>
            <w:tcW w:type="dxa" w:w="2381"/>
            <w:shd w:fill="E6E6E6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9"/>
              </w:rPr>
              <w:t>Core Component / Module</w:t>
            </w:r>
          </w:p>
        </w:tc>
        <w:tc>
          <w:tcPr>
            <w:tcW w:type="dxa" w:w="3175"/>
            <w:shd w:fill="E6E6E6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9"/>
              </w:rPr>
              <w:t>Underlying Algorithms &amp; Methodologies</w:t>
            </w:r>
          </w:p>
        </w:tc>
        <w:tc>
          <w:tcPr>
            <w:tcW w:type="dxa" w:w="2041"/>
            <w:shd w:fill="E6E6E6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9"/>
              </w:rPr>
              <w:t>Target Outputs &amp; Evaluation Artifacts</w:t>
            </w:r>
          </w:p>
        </w:tc>
      </w:tr>
      <w:tr>
        <w:tc>
          <w:tcPr>
            <w:tcW w:type="dxa" w:w="1474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1:</w:t>
              <w:br/>
              <w:t>Ingestion</w:t>
            </w:r>
          </w:p>
        </w:tc>
        <w:tc>
          <w:tcPr>
            <w:tcW w:type="dxa" w:w="2381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Raw Dataset Acquisition &amp; Ingestion</w:t>
            </w:r>
          </w:p>
        </w:tc>
        <w:tc>
          <w:tcPr>
            <w:tcW w:type="dxa" w:w="3175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Official CSV stream ingestion of CICIDS2017 (Canadian Institute for Cybersecurity) and UNSW-NB15 (Australian Centre for Cyber Security). Stratified subsampling under 500k flows.</w:t>
            </w:r>
          </w:p>
        </w:tc>
        <w:tc>
          <w:tcPr>
            <w:tcW w:type="dxa" w:w="2041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Ingested high-volume tabular flow arrays with verified binary/multi-class labels.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2:</w:t>
              <w:br/>
              <w:t>Preprocessing</w:t>
            </w:r>
          </w:p>
        </w:tc>
        <w:tc>
          <w:tcPr>
            <w:tcW w:type="dxa" w:w="2381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Canonical Cleaning &amp; Imputation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Infinite value capping (99.9th percentile) on packet/byte rates; median imputation on missing values; zero-variance feature pruning; categorical protocol encoding.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Mathematically continuous, finite feature matrices free of numerical anomalies.</w:t>
            </w:r>
          </w:p>
        </w:tc>
      </w:tr>
      <w:tr>
        <w:tc>
          <w:tcPr>
            <w:tcW w:type="dxa" w:w="1474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3:</w:t>
              <w:br/>
              <w:t>Alignment</w:t>
            </w:r>
          </w:p>
        </w:tc>
        <w:tc>
          <w:tcPr>
            <w:tcW w:type="dxa" w:w="2381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Semantic Ontology Reconciliation</w:t>
            </w:r>
          </w:p>
        </w:tc>
        <w:tc>
          <w:tcPr>
            <w:tcW w:type="dxa" w:w="3175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Bridging CICFlowMeter (80+ features) and Argus/Zeek (49 features). Mapping common behavioral features: duration, packet counts, byte rates, TTL, and TCP flags.</w:t>
            </w:r>
          </w:p>
        </w:tc>
        <w:tc>
          <w:tcPr>
            <w:tcW w:type="dxa" w:w="2041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Standardized domain-invariant feature schema shared across both network datasets.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4:</w:t>
              <w:br/>
              <w:t>Baseline</w:t>
            </w:r>
          </w:p>
        </w:tc>
        <w:tc>
          <w:tcPr>
            <w:tcW w:type="dxa" w:w="2381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Intra-Dataset Baseline Induction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Training and evaluating 5 machine learning classifiers (Decision Tree, Random Forest, Logistic Regression, Linear/RBF SVM, XGBoost) on standard 80/20 train-test splits.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Upper-bound uncorrupted performance metrics (Accuracy, Macro-F1, MCC, ROC-AUC).</w:t>
            </w:r>
          </w:p>
        </w:tc>
      </w:tr>
      <w:tr>
        <w:tc>
          <w:tcPr>
            <w:tcW w:type="dxa" w:w="1474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5:</w:t>
              <w:br/>
              <w:t>Cross-Transfer</w:t>
            </w:r>
          </w:p>
        </w:tc>
        <w:tc>
          <w:tcPr>
            <w:tcW w:type="dxa" w:w="2381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Bidirectional Zero-Shot Evaluation</w:t>
            </w:r>
          </w:p>
        </w:tc>
        <w:tc>
          <w:tcPr>
            <w:tcW w:type="dxa" w:w="3175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Direction 1: Train on CICIDS2017 → Test on UNSW-NB15.</w:t>
              <w:br/>
              <w:t>Direction 2: Train on UNSW-NB15 → Test on CICIDS2017.</w:t>
              <w:br/>
              <w:t>Quantifying domain shift via Wasserstein distance and MMD.</w:t>
            </w:r>
          </w:p>
        </w:tc>
        <w:tc>
          <w:tcPr>
            <w:tcW w:type="dxa" w:w="2041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Documented baseline generalization collapse and transferability decay logs.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6:</w:t>
              <w:br/>
              <w:t>Mitigation</w:t>
            </w:r>
          </w:p>
        </w:tc>
        <w:tc>
          <w:tcPr>
            <w:tcW w:type="dxa" w:w="2381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Feature Selection &amp; Domain Adaptation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• Mutual Information (MI) and Recursive Feature Elimination (RFE)</w:t>
              <w:br/>
              <w:t>• Robust Z-Score and Quantile feature normalization</w:t>
              <w:br/>
              <w:t>• Correlation Alignment (CORAL) covariance matrix matching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Aligned domain-invariant feature representations minimizing covariate shift.</w:t>
            </w:r>
          </w:p>
        </w:tc>
      </w:tr>
      <w:tr>
        <w:tc>
          <w:tcPr>
            <w:tcW w:type="dxa" w:w="1474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7:</w:t>
              <w:br/>
              <w:t>Evaluation</w:t>
            </w:r>
          </w:p>
        </w:tc>
        <w:tc>
          <w:tcPr>
            <w:tcW w:type="dxa" w:w="2381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Ablation Benchmarking &amp; Streamlit SOC GUI</w:t>
            </w:r>
          </w:p>
        </w:tc>
        <w:tc>
          <w:tcPr>
            <w:tcW w:type="dxa" w:w="3175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• Retraining models on aligned representations</w:t>
              <w:br/>
              <w:t>• Computing Generalization Recovery Ratio (GRR) and Matthews Correlation Coefficient (MCC)</w:t>
              <w:br/>
              <w:t>• Web-based SOC diagnostic demonstrator</w:t>
            </w:r>
          </w:p>
        </w:tc>
        <w:tc>
          <w:tcPr>
            <w:tcW w:type="dxa" w:w="2041"/>
            <w:shd w:fill="FAFAFA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Executive performance reports, comparative ROC curves, and live dashboard.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