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11/11/20</w:t>
      </w:r>
      <w:r w:rsidDel="00000000" w:rsidR="00000000" w:rsidRPr="00000000">
        <w:rPr>
          <w:b w:val="0"/>
          <w:rtl w:val="0"/>
        </w:rPr>
        <w:t xml:space="preserve">/ 8:00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Phase II Role Assignment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We assigned roles for the phase 2 deliverables according to the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linked rubric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assigned the reviewing tasks for the Phase II deliverables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ojnxla6h0n5" w:id="5"/>
      <w:bookmarkEnd w:id="5"/>
      <w:r w:rsidDel="00000000" w:rsidR="00000000" w:rsidRPr="00000000">
        <w:rPr>
          <w:rtl w:val="0"/>
        </w:rPr>
        <w:t xml:space="preserve">Follow-Up meeting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useful if Chris, Shane, and Phil can schedule a meeting to work on some of their Analysis tasks together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 group follow-up meeting on/around the 20th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6"/>
      <w:bookmarkEnd w:id="6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535"/>
        <w:gridCol w:w="2790"/>
        <w:gridCol w:w="2340"/>
        <w:tblGridChange w:id="0">
          <w:tblGrid>
            <w:gridCol w:w="1695"/>
            <w:gridCol w:w="2535"/>
            <w:gridCol w:w="27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6RQ7DSCwtg4hALyOWsdCHrnNVeshXQuxi-OXFJTQV0/edit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