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A393" w14:textId="3BC379BC" w:rsidR="00642C15" w:rsidRDefault="00DA6668">
      <w:pPr>
        <w:spacing w:before="1200"/>
      </w:pPr>
      <w:r w:rsidRPr="00DA6668">
        <w:rPr>
          <w:noProof/>
        </w:rPr>
        <w:drawing>
          <wp:anchor distT="0" distB="0" distL="114300" distR="114300" simplePos="0" relativeHeight="251658240" behindDoc="1" locked="0" layoutInCell="1" allowOverlap="1" wp14:anchorId="552204F3" wp14:editId="7CD46419">
            <wp:simplePos x="0" y="0"/>
            <wp:positionH relativeFrom="column">
              <wp:posOffset>4267200</wp:posOffset>
            </wp:positionH>
            <wp:positionV relativeFrom="paragraph">
              <wp:posOffset>0</wp:posOffset>
            </wp:positionV>
            <wp:extent cx="1885315" cy="796290"/>
            <wp:effectExtent l="0" t="0" r="635" b="3810"/>
            <wp:wrapTight wrapText="bothSides">
              <wp:wrapPolygon edited="0">
                <wp:start x="0" y="0"/>
                <wp:lineTo x="0" y="21187"/>
                <wp:lineTo x="21389" y="21187"/>
                <wp:lineTo x="21389" y="0"/>
                <wp:lineTo x="0" y="0"/>
              </wp:wrapPolygon>
            </wp:wrapTight>
            <wp:docPr id="11460804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8042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5315" cy="796290"/>
                    </a:xfrm>
                    <a:prstGeom prst="rect">
                      <a:avLst/>
                    </a:prstGeom>
                  </pic:spPr>
                </pic:pic>
              </a:graphicData>
            </a:graphic>
            <wp14:sizeRelH relativeFrom="margin">
              <wp14:pctWidth>0</wp14:pctWidth>
            </wp14:sizeRelH>
            <wp14:sizeRelV relativeFrom="margin">
              <wp14:pctHeight>0</wp14:pctHeight>
            </wp14:sizeRelV>
          </wp:anchor>
        </w:drawing>
      </w:r>
    </w:p>
    <w:p w14:paraId="2B2BFE65" w14:textId="77777777" w:rsidR="00642C15" w:rsidRDefault="008B6855">
      <w:pPr>
        <w:spacing w:after="80"/>
      </w:pPr>
      <w:r>
        <w:rPr>
          <w:b/>
          <w:bCs/>
          <w:caps/>
          <w:color w:val="2E5F8A"/>
          <w:sz w:val="20"/>
          <w:szCs w:val="20"/>
        </w:rPr>
        <w:t>TECHNISCHE DOKUMENTATION</w:t>
      </w:r>
    </w:p>
    <w:p w14:paraId="51CB20D0" w14:textId="77777777" w:rsidR="00642C15" w:rsidRDefault="008B6855">
      <w:pPr>
        <w:spacing w:after="200"/>
      </w:pPr>
      <w:r>
        <w:rPr>
          <w:b/>
          <w:bCs/>
          <w:color w:val="1F3864"/>
          <w:sz w:val="52"/>
          <w:szCs w:val="52"/>
        </w:rPr>
        <w:t>ProjectCalculationService</w:t>
      </w:r>
    </w:p>
    <w:p w14:paraId="78B6A746" w14:textId="77777777" w:rsidR="00642C15" w:rsidRDefault="008B6855">
      <w:pPr>
        <w:pBdr>
          <w:bottom w:val="single" w:sz="8" w:space="1" w:color="2E5F8A"/>
        </w:pBdr>
        <w:spacing w:after="320"/>
      </w:pPr>
      <w:r>
        <w:rPr>
          <w:color w:val="555555"/>
          <w:sz w:val="30"/>
          <w:szCs w:val="30"/>
        </w:rPr>
        <w:t>Berechnungslogik &amp; Algorithmen</w:t>
      </w:r>
    </w:p>
    <w:p w14:paraId="68359239" w14:textId="315E3A74" w:rsidR="00642C15" w:rsidRDefault="00DA6668">
      <w:pPr>
        <w:pBdr>
          <w:bottom w:val="single" w:sz="4" w:space="1" w:color="CCCCCC"/>
        </w:pBdr>
        <w:spacing w:before="160" w:after="160"/>
        <w:rPr>
          <w:b/>
          <w:bCs/>
        </w:rPr>
      </w:pPr>
      <w:r>
        <w:rPr>
          <w:b/>
          <w:bCs/>
        </w:rPr>
        <w:t xml:space="preserve">Hinweis: Dies ist die technische Dokumentation. Für den mathematischen </w:t>
      </w:r>
      <w:r w:rsidR="007C59F5">
        <w:rPr>
          <w:b/>
          <w:bCs/>
        </w:rPr>
        <w:t>Hintergrund</w:t>
      </w:r>
      <w:r>
        <w:rPr>
          <w:b/>
          <w:bCs/>
        </w:rPr>
        <w:t xml:space="preserve"> bitte die ProjectCalculationService.md beachten.</w:t>
      </w:r>
    </w:p>
    <w:p w14:paraId="28189677" w14:textId="77777777" w:rsidR="00DA6668" w:rsidRDefault="00DA6668">
      <w:pPr>
        <w:pBdr>
          <w:bottom w:val="single" w:sz="4" w:space="1" w:color="CCCCCC"/>
        </w:pBdr>
        <w:spacing w:before="160" w:after="160"/>
      </w:pPr>
    </w:p>
    <w:p w14:paraId="6A377A88" w14:textId="77777777" w:rsidR="00642C15" w:rsidRDefault="008B6855">
      <w:pPr>
        <w:pStyle w:val="berschrift1"/>
      </w:pPr>
      <w:r>
        <w:t>1. Überblick</w:t>
      </w:r>
    </w:p>
    <w:p w14:paraId="6D64ADD6" w14:textId="77777777" w:rsidR="00642C15" w:rsidRDefault="008B6855">
      <w:pPr>
        <w:spacing w:before="80" w:after="100"/>
      </w:pPr>
      <w:r>
        <w:t xml:space="preserve">Der </w:t>
      </w:r>
      <w:r>
        <w:rPr>
          <w:b/>
          <w:bCs/>
        </w:rPr>
        <w:t>ProjectCalculationService</w:t>
      </w:r>
      <w:r>
        <w:t xml:space="preserve"> ist der algorithmische Kern der Projektschätzungsanwendung. Er nimmt strukturierte Benutzereingaben entgegen und transformiert diese in ein vollständiges </w:t>
      </w:r>
      <w:r>
        <w:rPr>
          <w:b/>
          <w:bCs/>
        </w:rPr>
        <w:t>ProjectMetrics-Objekt</w:t>
      </w:r>
      <w:r>
        <w:t>, das Aufwand, Dauer, Phasenpläne, Backlog-Kennzahlen und Risikopuffer enthält. Alle Berechnungen basieren auf einem mehrstufigen Scoring-Modell, das Eingaben normalisiert, gewichtet und zu Kategorie-Scores aggregiert, bevor daraus konkrete Zeitplanung und Aufwandsverteilung abgeleitet werden.</w:t>
      </w:r>
    </w:p>
    <w:p w14:paraId="4A6DE34D" w14:textId="77777777" w:rsidR="00642C15" w:rsidRDefault="008B6855">
      <w:pPr>
        <w:spacing w:before="120" w:after="80"/>
      </w:pPr>
      <w:r>
        <w:rPr>
          <w:b/>
          <w:bCs/>
        </w:rPr>
        <w:t>Lifecycle der Berechnung:</w:t>
      </w:r>
    </w:p>
    <w:p w14:paraId="74B5E4D9" w14:textId="77777777" w:rsidR="00642C15" w:rsidRDefault="008B6855">
      <w:pPr>
        <w:pStyle w:val="Listenabsatz"/>
        <w:numPr>
          <w:ilvl w:val="0"/>
          <w:numId w:val="2"/>
        </w:numPr>
        <w:spacing w:before="60" w:after="60"/>
      </w:pPr>
      <w:r>
        <w:t>Normalisierung der Roheingaben auf [0, 1]</w:t>
      </w:r>
    </w:p>
    <w:p w14:paraId="01195DE9" w14:textId="77777777" w:rsidR="00642C15" w:rsidRDefault="008B6855">
      <w:pPr>
        <w:pStyle w:val="Listenabsatz"/>
        <w:numPr>
          <w:ilvl w:val="0"/>
          <w:numId w:val="2"/>
        </w:numPr>
        <w:spacing w:before="60" w:after="60"/>
      </w:pPr>
      <w:r>
        <w:t xml:space="preserve">Gewichtung und Aggregation zu Kategorie-Scores </w:t>
      </w:r>
    </w:p>
    <w:p w14:paraId="45345789" w14:textId="77777777" w:rsidR="00642C15" w:rsidRDefault="008B6855">
      <w:pPr>
        <w:pStyle w:val="Listenabsatz"/>
        <w:numPr>
          <w:ilvl w:val="0"/>
          <w:numId w:val="2"/>
        </w:numPr>
        <w:spacing w:before="60" w:after="60"/>
      </w:pPr>
      <w:r>
        <w:t>Aufwandsschätzung mit multiplikativen Skalierungsfaktoren</w:t>
      </w:r>
    </w:p>
    <w:p w14:paraId="040EFCD7" w14:textId="77777777" w:rsidR="00642C15" w:rsidRDefault="008B6855">
      <w:pPr>
        <w:pStyle w:val="Listenabsatz"/>
        <w:numPr>
          <w:ilvl w:val="0"/>
          <w:numId w:val="2"/>
        </w:numPr>
        <w:spacing w:before="60" w:after="60"/>
      </w:pPr>
      <w:r>
        <w:t>Ableitung von Dauer, Story Points und Projektgröße</w:t>
      </w:r>
    </w:p>
    <w:p w14:paraId="4E06696B" w14:textId="77777777" w:rsidR="00642C15" w:rsidRDefault="008B6855">
      <w:pPr>
        <w:pStyle w:val="Listenabsatz"/>
        <w:numPr>
          <w:ilvl w:val="0"/>
          <w:numId w:val="2"/>
        </w:numPr>
        <w:spacing w:before="60" w:after="60"/>
      </w:pPr>
      <w:r>
        <w:t>Phasengenerierung mit risikobasierter Pufferverteilung</w:t>
      </w:r>
    </w:p>
    <w:p w14:paraId="6707193E" w14:textId="77777777" w:rsidR="00642C15" w:rsidRDefault="008B6855">
      <w:pPr>
        <w:pStyle w:val="Listenabsatz"/>
        <w:numPr>
          <w:ilvl w:val="0"/>
          <w:numId w:val="2"/>
        </w:numPr>
        <w:spacing w:before="60" w:after="60"/>
      </w:pPr>
      <w:r>
        <w:t>Aufgabengewichtung innerhalb jeder Phase</w:t>
      </w:r>
    </w:p>
    <w:p w14:paraId="16604488" w14:textId="77777777" w:rsidR="00642C15" w:rsidRDefault="00642C15">
      <w:pPr>
        <w:pBdr>
          <w:bottom w:val="single" w:sz="4" w:space="1" w:color="CCCCCC"/>
        </w:pBdr>
        <w:spacing w:before="160" w:after="160"/>
      </w:pPr>
    </w:p>
    <w:p w14:paraId="0631C331" w14:textId="77777777" w:rsidR="00642C15" w:rsidRDefault="008B6855">
      <w:pPr>
        <w:pStyle w:val="berschrift1"/>
      </w:pPr>
      <w:r>
        <w:t>2. Zentrale Datentypen</w:t>
      </w:r>
    </w:p>
    <w:p w14:paraId="3E19E19A" w14:textId="77777777" w:rsidR="00642C15" w:rsidRDefault="008B6855">
      <w:pPr>
        <w:pStyle w:val="berschrift2"/>
      </w:pPr>
      <w:r>
        <w:t>2.1 InputField</w:t>
      </w:r>
    </w:p>
    <w:p w14:paraId="01F0B0A2" w14:textId="77777777" w:rsidR="00642C15" w:rsidRDefault="008B6855">
      <w:pPr>
        <w:spacing w:before="80" w:after="100"/>
      </w:pPr>
      <w:r>
        <w:t xml:space="preserve">Jede Eingabe ist ein </w:t>
      </w:r>
      <w:r>
        <w:rPr>
          <w:rFonts w:ascii="Courier New" w:eastAsia="Courier New" w:hAnsi="Courier New" w:cs="Courier New"/>
          <w:color w:val="C7254E"/>
          <w:sz w:val="20"/>
          <w:szCs w:val="20"/>
        </w:rPr>
        <w:t>InputField</w:t>
      </w:r>
      <w:r>
        <w:t>-Objekt mit den folgenden relevanten Feldern: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42C15" w14:paraId="289A56F0" w14:textId="77777777">
        <w:tc>
          <w:tcPr>
            <w:tcW w:w="22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09B4E89C" w14:textId="77777777" w:rsidR="00642C15" w:rsidRDefault="008B6855">
            <w:r>
              <w:rPr>
                <w:b/>
                <w:bCs/>
                <w:color w:val="FFFFFF"/>
                <w:sz w:val="20"/>
                <w:szCs w:val="20"/>
              </w:rPr>
              <w:t>Feld</w:t>
            </w:r>
          </w:p>
        </w:tc>
        <w:tc>
          <w:tcPr>
            <w:tcW w:w="18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7C4C4D29" w14:textId="77777777" w:rsidR="00642C15" w:rsidRDefault="008B6855">
            <w:r>
              <w:rPr>
                <w:b/>
                <w:bCs/>
                <w:color w:val="FFFFFF"/>
                <w:sz w:val="20"/>
                <w:szCs w:val="20"/>
              </w:rPr>
              <w:t>Typ</w:t>
            </w:r>
          </w:p>
        </w:tc>
        <w:tc>
          <w:tcPr>
            <w:tcW w:w="536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16392057" w14:textId="77777777" w:rsidR="00642C15" w:rsidRDefault="008B6855">
            <w:r>
              <w:rPr>
                <w:b/>
                <w:bCs/>
                <w:color w:val="FFFFFF"/>
                <w:sz w:val="20"/>
                <w:szCs w:val="20"/>
              </w:rPr>
              <w:t>Bedeutung</w:t>
            </w:r>
          </w:p>
        </w:tc>
      </w:tr>
      <w:tr w:rsidR="00642C15" w14:paraId="6768C3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060AE8" w14:textId="77777777" w:rsidR="00642C15" w:rsidRDefault="008B6855">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DD3854" w14:textId="77777777" w:rsidR="00642C15" w:rsidRDefault="008B6855">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C6C462" w14:textId="77777777" w:rsidR="00642C15" w:rsidRDefault="008B6855">
            <w:r>
              <w:rPr>
                <w:sz w:val="20"/>
                <w:szCs w:val="20"/>
              </w:rPr>
              <w:t>Eindeutiger Bezeichner, wird als Schlüssel für Gewichts-Maps verwendet</w:t>
            </w:r>
          </w:p>
        </w:tc>
      </w:tr>
      <w:tr w:rsidR="00642C15" w14:paraId="4F346B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9241F1E" w14:textId="77777777" w:rsidR="00642C15" w:rsidRDefault="008B6855">
            <w:r>
              <w:rPr>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9CAA2A2" w14:textId="77777777" w:rsidR="00642C15" w:rsidRDefault="008B6855">
            <w:r>
              <w:rPr>
                <w:sz w:val="20"/>
                <w:szCs w:val="20"/>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DCDE76F" w14:textId="77777777" w:rsidR="00642C15" w:rsidRDefault="008B6855">
            <w:r>
              <w:rPr>
                <w:sz w:val="20"/>
                <w:szCs w:val="20"/>
              </w:rPr>
              <w:t>boolean | percentage | number | select – bestimmt die Normalisierungsformel</w:t>
            </w:r>
          </w:p>
        </w:tc>
      </w:tr>
      <w:tr w:rsidR="00642C15" w14:paraId="2FCBDB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01C0F3" w14:textId="77777777" w:rsidR="00642C15" w:rsidRDefault="008B6855">
            <w:r>
              <w:rPr>
                <w:sz w:val="20"/>
                <w:szCs w:val="20"/>
              </w:rPr>
              <w:t>value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53E4F2" w14:textId="77777777" w:rsidR="00642C15" w:rsidRDefault="008B6855">
            <w:r>
              <w:rPr>
                <w:sz w:val="20"/>
                <w:szCs w:val="20"/>
              </w:rPr>
              <w:t>any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82FA60" w14:textId="77777777" w:rsidR="00642C15" w:rsidRDefault="008B6855">
            <w:r>
              <w:rPr>
                <w:sz w:val="20"/>
                <w:szCs w:val="20"/>
              </w:rPr>
              <w:t>Rohwert der Eingabe</w:t>
            </w:r>
          </w:p>
        </w:tc>
      </w:tr>
      <w:tr w:rsidR="00642C15" w14:paraId="0C3D8EE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AC06BD6" w14:textId="77777777" w:rsidR="00642C15" w:rsidRDefault="008B6855">
            <w:r>
              <w:rPr>
                <w:sz w:val="20"/>
                <w:szCs w:val="20"/>
              </w:rPr>
              <w:lastRenderedPageBreak/>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2F5C3B1" w14:textId="77777777" w:rsidR="00642C15" w:rsidRDefault="008B6855">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96113B3" w14:textId="77777777" w:rsidR="00642C15" w:rsidRDefault="008B6855">
            <w:r>
              <w:rPr>
                <w:sz w:val="20"/>
                <w:szCs w:val="20"/>
              </w:rPr>
              <w:t>readiness | complexity | uncertainty – Zuordnung zum Kategorie-Score</w:t>
            </w:r>
          </w:p>
        </w:tc>
      </w:tr>
      <w:tr w:rsidR="00642C15" w14:paraId="5EE500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A0DCDC" w14:textId="77777777" w:rsidR="00642C15" w:rsidRDefault="008B6855">
            <w:r>
              <w:rPr>
                <w:sz w:val="20"/>
                <w:szCs w:val="20"/>
              </w:rPr>
              <w:t>isNegative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45B7B2" w14:textId="77777777" w:rsidR="00642C15" w:rsidRDefault="008B6855">
            <w:r>
              <w:rPr>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A4DDFC" w14:textId="77777777" w:rsidR="00642C15" w:rsidRDefault="008B6855">
            <w:r>
              <w:rPr>
                <w:sz w:val="20"/>
                <w:szCs w:val="20"/>
              </w:rPr>
              <w:t>Wenn true: Wert wird nach Normalisierung invertiert (1 – x)</w:t>
            </w:r>
          </w:p>
        </w:tc>
      </w:tr>
      <w:tr w:rsidR="00642C15" w14:paraId="1B8F33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25DE7FD" w14:textId="77777777" w:rsidR="00642C15" w:rsidRDefault="008B6855">
            <w:r>
              <w:rPr>
                <w:sz w:val="20"/>
                <w:szCs w:val="20"/>
              </w:rPr>
              <w:t>min / max</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7998B02" w14:textId="77777777" w:rsidR="00642C15" w:rsidRDefault="008B6855">
            <w:r>
              <w:rPr>
                <w:sz w:val="20"/>
                <w:szCs w:val="20"/>
              </w:rPr>
              <w:t>number</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876AB1D" w14:textId="77777777" w:rsidR="00642C15" w:rsidRDefault="008B6855">
            <w:r>
              <w:rPr>
                <w:sz w:val="20"/>
                <w:szCs w:val="20"/>
              </w:rPr>
              <w:t>Wertebereich bei type='number' für Min-Max-Skalierung</w:t>
            </w:r>
          </w:p>
        </w:tc>
      </w:tr>
      <w:tr w:rsidR="00642C15" w14:paraId="6BE70F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C234A1" w14:textId="77777777" w:rsidR="00642C15" w:rsidRDefault="008B6855">
            <w:r>
              <w:rPr>
                <w:sz w:val="20"/>
                <w:szCs w:val="20"/>
              </w:rPr>
              <w:t>options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69EE70" w14:textId="77777777" w:rsidR="00642C15" w:rsidRDefault="008B6855">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ED1262" w14:textId="77777777" w:rsidR="00642C15" w:rsidRDefault="008B6855">
            <w:r>
              <w:rPr>
                <w:sz w:val="20"/>
                <w:szCs w:val="20"/>
              </w:rPr>
              <w:t>Auswahlliste bei type='select'</w:t>
            </w:r>
          </w:p>
        </w:tc>
      </w:tr>
    </w:tbl>
    <w:p w14:paraId="1A438ED7" w14:textId="77777777" w:rsidR="00642C15" w:rsidRDefault="00642C15">
      <w:pPr>
        <w:spacing w:before="160" w:after="80"/>
      </w:pPr>
    </w:p>
    <w:p w14:paraId="2CCB7DB0" w14:textId="77777777" w:rsidR="00642C15" w:rsidRDefault="008B6855">
      <w:pPr>
        <w:pStyle w:val="berschrift2"/>
      </w:pPr>
      <w:r>
        <w:t>2.2 CategoryScore</w:t>
      </w:r>
    </w:p>
    <w:p w14:paraId="15A18987" w14:textId="77777777" w:rsidR="00642C15" w:rsidRDefault="008B6855">
      <w:pPr>
        <w:spacing w:before="80" w:after="100"/>
      </w:pPr>
      <w:r>
        <w:t>Aggregierter Zustandsvektor des Projekts nach der Scoring-Phase: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42C15" w14:paraId="30104D28" w14:textId="77777777">
        <w:tc>
          <w:tcPr>
            <w:tcW w:w="24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7125C98C" w14:textId="77777777" w:rsidR="00642C15" w:rsidRDefault="008B6855">
            <w:r>
              <w:rPr>
                <w:b/>
                <w:bCs/>
                <w:color w:val="FFFFFF"/>
                <w:sz w:val="20"/>
                <w:szCs w:val="20"/>
              </w:rPr>
              <w:t>Eigenschaft</w:t>
            </w:r>
          </w:p>
        </w:tc>
        <w:tc>
          <w:tcPr>
            <w:tcW w:w="696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51B1E0F7" w14:textId="77777777" w:rsidR="00642C15" w:rsidRDefault="008B6855">
            <w:r>
              <w:rPr>
                <w:b/>
                <w:bCs/>
                <w:color w:val="FFFFFF"/>
                <w:sz w:val="20"/>
                <w:szCs w:val="20"/>
              </w:rPr>
              <w:t>Semantik</w:t>
            </w:r>
          </w:p>
        </w:tc>
      </w:tr>
      <w:tr w:rsidR="00642C15" w14:paraId="3BEFA9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6CC0CF" w14:textId="77777777" w:rsidR="00642C15" w:rsidRDefault="008B6855">
            <w:r>
              <w:rPr>
                <w:sz w:val="20"/>
                <w:szCs w:val="20"/>
              </w:rPr>
              <w:t>readiness ∈ [0,1]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2DB7C3" w14:textId="77777777" w:rsidR="00642C15" w:rsidRDefault="008B6855">
            <w:r>
              <w:rPr>
                <w:sz w:val="20"/>
                <w:szCs w:val="20"/>
              </w:rPr>
              <w:t>1.0 = vollständig vorbereitet, 0.0 = keinerlei Vorbereitung</w:t>
            </w:r>
          </w:p>
        </w:tc>
      </w:tr>
      <w:tr w:rsidR="00642C15" w14:paraId="56B885B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44E2D96" w14:textId="77777777" w:rsidR="00642C15" w:rsidRDefault="008B6855">
            <w:r>
              <w:rPr>
                <w:sz w:val="20"/>
                <w:szCs w:val="20"/>
              </w:rPr>
              <w:t>complexity ∈ [0,1]</w:t>
            </w:r>
          </w:p>
        </w:tc>
        <w:tc>
          <w:tcPr>
            <w:tcW w:w="69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637D377" w14:textId="77777777" w:rsidR="00642C15" w:rsidRDefault="008B6855">
            <w:r>
              <w:rPr>
                <w:sz w:val="20"/>
                <w:szCs w:val="20"/>
              </w:rPr>
              <w:t>1.0 = maximal komplex, 0.0 = trivial</w:t>
            </w:r>
          </w:p>
        </w:tc>
      </w:tr>
      <w:tr w:rsidR="00642C15" w14:paraId="73B8A4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EEF008" w14:textId="77777777" w:rsidR="00642C15" w:rsidRDefault="008B6855">
            <w:r>
              <w:rPr>
                <w:sz w:val="20"/>
                <w:szCs w:val="20"/>
              </w:rPr>
              <w:t>uncertainty ∈ [0,1]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7B5D58" w14:textId="77777777" w:rsidR="00642C15" w:rsidRDefault="008B6855">
            <w:r>
              <w:rPr>
                <w:sz w:val="20"/>
                <w:szCs w:val="20"/>
              </w:rPr>
              <w:t>1.0 = vollständig unbekannt, 0.0 = vollständig verstanden</w:t>
            </w:r>
          </w:p>
        </w:tc>
      </w:tr>
    </w:tbl>
    <w:p w14:paraId="0D9CF006" w14:textId="77777777" w:rsidR="00642C15" w:rsidRDefault="00642C15">
      <w:pPr>
        <w:spacing w:before="160" w:after="80"/>
      </w:pPr>
    </w:p>
    <w:p w14:paraId="58B0BF77" w14:textId="77777777" w:rsidR="00642C15" w:rsidRDefault="008B6855">
      <w:pPr>
        <w:pStyle w:val="berschrift2"/>
      </w:pPr>
      <w:r>
        <w:t>2.3 ProjectMetrics (Ausgabe)</w:t>
      </w:r>
    </w:p>
    <w:p w14:paraId="0FAE154B" w14:textId="77777777" w:rsidR="00642C15" w:rsidRDefault="008B6855">
      <w:pPr>
        <w:spacing w:before="80" w:after="100"/>
      </w:pPr>
      <w:r>
        <w:t xml:space="preserve">Vollständiges Ergebnisobjekt der </w:t>
      </w:r>
      <w:r>
        <w:rPr>
          <w:rFonts w:ascii="Courier New" w:eastAsia="Courier New" w:hAnsi="Courier New" w:cs="Courier New"/>
          <w:color w:val="C7254E"/>
          <w:sz w:val="20"/>
          <w:szCs w:val="20"/>
        </w:rPr>
        <w:t>calculate()</w:t>
      </w:r>
      <w:r>
        <w:t>-Methode: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C15" w14:paraId="6D591EAB" w14:textId="77777777">
        <w:tc>
          <w:tcPr>
            <w:tcW w:w="30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2473A8A7" w14:textId="77777777" w:rsidR="00642C15" w:rsidRDefault="008B6855">
            <w:r>
              <w:rPr>
                <w:b/>
                <w:bCs/>
                <w:color w:val="FFFFFF"/>
                <w:sz w:val="20"/>
                <w:szCs w:val="20"/>
              </w:rPr>
              <w:t>Feld</w:t>
            </w:r>
          </w:p>
        </w:tc>
        <w:tc>
          <w:tcPr>
            <w:tcW w:w="636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0419D04F" w14:textId="77777777" w:rsidR="00642C15" w:rsidRDefault="008B6855">
            <w:r>
              <w:rPr>
                <w:b/>
                <w:bCs/>
                <w:color w:val="FFFFFF"/>
                <w:sz w:val="20"/>
                <w:szCs w:val="20"/>
              </w:rPr>
              <w:t>Inhalt</w:t>
            </w:r>
          </w:p>
        </w:tc>
      </w:tr>
      <w:tr w:rsidR="00642C15" w14:paraId="0A5D72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FA7A43" w14:textId="77777777" w:rsidR="00642C15" w:rsidRDefault="008B6855">
            <w:r>
              <w:rPr>
                <w:sz w:val="20"/>
                <w:szCs w:val="20"/>
              </w:rPr>
              <w:t>categoryScores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3124CC" w14:textId="77777777" w:rsidR="00642C15" w:rsidRDefault="008B6855">
            <w:r>
              <w:rPr>
                <w:sz w:val="20"/>
                <w:szCs w:val="20"/>
              </w:rPr>
              <w:t>Die drei gewichteten Kategorie-Scores (readiness, complexity, uncertainty)</w:t>
            </w:r>
          </w:p>
        </w:tc>
      </w:tr>
      <w:tr w:rsidR="00642C15" w14:paraId="1A4ADEA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DFA165C" w14:textId="77777777" w:rsidR="00642C15" w:rsidRDefault="008B6855">
            <w:r>
              <w:rPr>
                <w:sz w:val="20"/>
                <w:szCs w:val="20"/>
              </w:rPr>
              <w:t>overallScore</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E388B75" w14:textId="77777777" w:rsidR="00642C15" w:rsidRDefault="008B6855">
            <w:r>
              <w:rPr>
                <w:sz w:val="20"/>
                <w:szCs w:val="20"/>
              </w:rPr>
              <w:t>Einzelner Gesamtscore ∈ [0,1] – je höher, desto günstiger der Projektzustand</w:t>
            </w:r>
          </w:p>
        </w:tc>
      </w:tr>
      <w:tr w:rsidR="00642C15" w14:paraId="3E7D1B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4C434C" w14:textId="77777777" w:rsidR="00642C15" w:rsidRDefault="008B6855">
            <w:r>
              <w:rPr>
                <w:sz w:val="20"/>
                <w:szCs w:val="20"/>
              </w:rPr>
              <w:t>effortPersonWeeks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BE8EE8" w14:textId="77777777" w:rsidR="00642C15" w:rsidRDefault="008B6855">
            <w:r>
              <w:rPr>
                <w:sz w:val="20"/>
                <w:szCs w:val="20"/>
              </w:rPr>
              <w:t>Geschätzter Gesamtaufwand in Personenwochen (inkl. Risikopuffer)</w:t>
            </w:r>
          </w:p>
        </w:tc>
      </w:tr>
      <w:tr w:rsidR="00642C15" w14:paraId="7807844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0826642" w14:textId="77777777" w:rsidR="00642C15" w:rsidRDefault="008B6855">
            <w:r>
              <w:rPr>
                <w:sz w:val="20"/>
                <w:szCs w:val="20"/>
              </w:rPr>
              <w:t>durationWeeks</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599CAD8" w14:textId="77777777" w:rsidR="00642C15" w:rsidRDefault="008B6855">
            <w:r>
              <w:rPr>
                <w:sz w:val="20"/>
                <w:szCs w:val="20"/>
              </w:rPr>
              <w:t>Kalendarische Projektlaufzeit in Wochen</w:t>
            </w:r>
          </w:p>
        </w:tc>
      </w:tr>
      <w:tr w:rsidR="00642C15" w14:paraId="3859DB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6A8064" w14:textId="77777777" w:rsidR="00642C15" w:rsidRDefault="008B6855">
            <w:r>
              <w:rPr>
                <w:sz w:val="20"/>
                <w:szCs w:val="20"/>
              </w:rPr>
              <w:t>projectSize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CC6C0C" w14:textId="77777777" w:rsidR="00642C15" w:rsidRDefault="008B6855">
            <w:r>
              <w:rPr>
                <w:sz w:val="20"/>
                <w:szCs w:val="20"/>
              </w:rPr>
              <w:t>Klassifikation: XS | S | M | L | XL basierend auf Aufwand</w:t>
            </w:r>
          </w:p>
        </w:tc>
      </w:tr>
      <w:tr w:rsidR="00642C15" w14:paraId="57279C8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A47BBB5" w14:textId="77777777" w:rsidR="00642C15" w:rsidRDefault="008B6855">
            <w:r>
              <w:rPr>
                <w:sz w:val="20"/>
                <w:szCs w:val="20"/>
              </w:rPr>
              <w:t>storyPoints</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CF8FDA5" w14:textId="5250200A" w:rsidR="00642C15" w:rsidRDefault="008B6855">
            <w:r>
              <w:rPr>
                <w:sz w:val="20"/>
                <w:szCs w:val="20"/>
              </w:rPr>
              <w:t xml:space="preserve">Umgerechnete Backlog-Größe (1 PW = </w:t>
            </w:r>
            <w:r w:rsidR="00DA58A2">
              <w:rPr>
                <w:sz w:val="20"/>
                <w:szCs w:val="20"/>
              </w:rPr>
              <w:t>7</w:t>
            </w:r>
            <w:r>
              <w:rPr>
                <w:sz w:val="20"/>
                <w:szCs w:val="20"/>
              </w:rPr>
              <w:t xml:space="preserve"> SP)</w:t>
            </w:r>
          </w:p>
        </w:tc>
      </w:tr>
      <w:tr w:rsidR="00642C15" w14:paraId="12ABC1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AD9F7F" w14:textId="77777777" w:rsidR="00642C15" w:rsidRDefault="008B6855">
            <w:r>
              <w:rPr>
                <w:sz w:val="20"/>
                <w:szCs w:val="20"/>
              </w:rPr>
              <w:t>sprintCount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CC8F8D" w14:textId="77777777" w:rsidR="00642C15" w:rsidRDefault="008B6855">
            <w:r>
              <w:rPr>
                <w:sz w:val="20"/>
                <w:szCs w:val="20"/>
              </w:rPr>
              <w:t>Anzahl Sprints bei gegebener Velocity</w:t>
            </w:r>
          </w:p>
        </w:tc>
      </w:tr>
      <w:tr w:rsidR="00642C15" w14:paraId="5256F94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22A5A6E" w14:textId="77777777" w:rsidR="00642C15" w:rsidRDefault="008B6855">
            <w:r>
              <w:rPr>
                <w:sz w:val="20"/>
                <w:szCs w:val="20"/>
              </w:rPr>
              <w:t>phases</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DDC2A7F" w14:textId="77777777" w:rsidR="00642C15" w:rsidRDefault="008B6855">
            <w:r>
              <w:rPr>
                <w:sz w:val="20"/>
                <w:szCs w:val="20"/>
              </w:rPr>
              <w:t>Array von ProjectPhase-Objekten mit Aufgaben, Dauer und Pufferverteilung</w:t>
            </w:r>
          </w:p>
        </w:tc>
      </w:tr>
      <w:tr w:rsidR="00642C15" w14:paraId="0D1FAB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A58935" w14:textId="77777777" w:rsidR="00642C15" w:rsidRDefault="008B6855">
            <w:r>
              <w:rPr>
                <w:sz w:val="20"/>
                <w:szCs w:val="20"/>
              </w:rPr>
              <w:t>effortBreakdown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8D987D" w14:textId="77777777" w:rsidR="00642C15" w:rsidRDefault="008B6855">
            <w:r>
              <w:rPr>
                <w:sz w:val="20"/>
                <w:szCs w:val="20"/>
              </w:rPr>
              <w:t>Detailaufschlüsselung: Basisaufwand, Pufferaufwand, Pufferprozentsatz, Risikolevel</w:t>
            </w:r>
          </w:p>
        </w:tc>
      </w:tr>
    </w:tbl>
    <w:p w14:paraId="13159B59" w14:textId="77777777" w:rsidR="00642C15" w:rsidRDefault="00642C15">
      <w:pPr>
        <w:pBdr>
          <w:bottom w:val="single" w:sz="4" w:space="1" w:color="CCCCCC"/>
        </w:pBdr>
        <w:spacing w:before="160" w:after="160"/>
      </w:pPr>
    </w:p>
    <w:p w14:paraId="3EF563AA" w14:textId="77777777" w:rsidR="00642C15" w:rsidRDefault="008B6855">
      <w:pPr>
        <w:pStyle w:val="berschrift1"/>
      </w:pPr>
      <w:r>
        <w:t>3. Normalisierung der Eingaben</w:t>
      </w:r>
    </w:p>
    <w:p w14:paraId="66FD4024" w14:textId="77777777" w:rsidR="00642C15" w:rsidRDefault="008B6855">
      <w:pPr>
        <w:pStyle w:val="berschrift2"/>
      </w:pPr>
      <w:r>
        <w:t>3.1 Methode: normalizeInputs()</w:t>
      </w:r>
    </w:p>
    <w:p w14:paraId="1C92A343" w14:textId="77777777" w:rsidR="00642C15" w:rsidRDefault="008B6855">
      <w:pPr>
        <w:spacing w:before="80" w:after="100"/>
      </w:pPr>
      <w:r>
        <w:rPr>
          <w:b/>
          <w:bCs/>
        </w:rPr>
        <w:lastRenderedPageBreak/>
        <w:t xml:space="preserve">Signatur: </w:t>
      </w:r>
      <w:r>
        <w:rPr>
          <w:rFonts w:ascii="Courier New" w:eastAsia="Courier New" w:hAnsi="Courier New" w:cs="Courier New"/>
          <w:color w:val="C7254E"/>
          <w:sz w:val="20"/>
          <w:szCs w:val="20"/>
        </w:rPr>
        <w:t>normalizeInputs(inputs: InputField[]): NormalizedValue[]</w:t>
      </w:r>
    </w:p>
    <w:p w14:paraId="408DF052" w14:textId="77777777" w:rsidR="00642C15" w:rsidRDefault="008B6855">
      <w:pPr>
        <w:spacing w:before="80" w:after="100"/>
      </w:pPr>
      <w:r>
        <w:t xml:space="preserve">Ziel dieser Methode ist es, heterogene Eingaben auf eine einheitliche, dimensionslose Skala </w:t>
      </w:r>
      <w:r>
        <w:rPr>
          <w:b/>
          <w:bCs/>
        </w:rPr>
        <w:t>[0.0, 1.0]</w:t>
      </w:r>
      <w:r>
        <w:t xml:space="preserve"> zu projizieren, sodass sie anschließend miteinander verrechnet werden können. Je nach </w:t>
      </w:r>
      <w:r>
        <w:rPr>
          <w:rFonts w:ascii="Courier New" w:eastAsia="Courier New" w:hAnsi="Courier New" w:cs="Courier New"/>
          <w:color w:val="C7254E"/>
          <w:sz w:val="20"/>
          <w:szCs w:val="20"/>
        </w:rPr>
        <w:t>type</w:t>
      </w:r>
      <w:r>
        <w:t>-Eigenschaft des Feldes kommt eine der folgenden Formeln zum Einsatz:</w:t>
      </w:r>
    </w:p>
    <w:p w14:paraId="20494F5C" w14:textId="77777777" w:rsidR="00642C15" w:rsidRDefault="00642C15">
      <w:pPr>
        <w:spacing w:before="1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642C15" w14:paraId="5FA7681B" w14:textId="77777777">
        <w:tc>
          <w:tcPr>
            <w:tcW w:w="18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37764088" w14:textId="77777777" w:rsidR="00642C15" w:rsidRDefault="008B6855">
            <w:r>
              <w:rPr>
                <w:b/>
                <w:bCs/>
                <w:color w:val="FFFFFF"/>
                <w:sz w:val="20"/>
                <w:szCs w:val="20"/>
              </w:rPr>
              <w:t>Typ</w:t>
            </w:r>
          </w:p>
        </w:tc>
        <w:tc>
          <w:tcPr>
            <w:tcW w:w="30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4E967F84" w14:textId="77777777" w:rsidR="00642C15" w:rsidRDefault="008B6855">
            <w:r>
              <w:rPr>
                <w:b/>
                <w:bCs/>
                <w:color w:val="FFFFFF"/>
                <w:sz w:val="20"/>
                <w:szCs w:val="20"/>
              </w:rPr>
              <w:t>Formel</w:t>
            </w:r>
          </w:p>
        </w:tc>
        <w:tc>
          <w:tcPr>
            <w:tcW w:w="456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7EA6CA2F" w14:textId="77777777" w:rsidR="00642C15" w:rsidRDefault="008B6855">
            <w:r>
              <w:rPr>
                <w:b/>
                <w:bCs/>
                <w:color w:val="FFFFFF"/>
                <w:sz w:val="20"/>
                <w:szCs w:val="20"/>
              </w:rPr>
              <w:t>Erläuterung</w:t>
            </w:r>
          </w:p>
        </w:tc>
      </w:tr>
      <w:tr w:rsidR="00642C15" w14:paraId="469AAA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51B78A" w14:textId="77777777" w:rsidR="00642C15" w:rsidRDefault="008B6855">
            <w:r>
              <w:rPr>
                <w:sz w:val="20"/>
                <w:szCs w:val="20"/>
              </w:rPr>
              <w:t>boolean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FAF9E8" w14:textId="77777777" w:rsidR="00642C15" w:rsidRDefault="008B6855">
            <w:r>
              <w:rPr>
                <w:rFonts w:ascii="Courier New" w:eastAsia="Courier New" w:hAnsi="Courier New" w:cs="Courier New"/>
                <w:color w:val="C7254E"/>
                <w:sz w:val="20"/>
                <w:szCs w:val="20"/>
              </w:rPr>
              <w:t>value ? 1 : 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520BC7" w14:textId="77777777" w:rsidR="00642C15" w:rsidRDefault="008B6855">
            <w:r>
              <w:rPr>
                <w:sz w:val="20"/>
                <w:szCs w:val="20"/>
              </w:rPr>
              <w:t>Binär: true → 1.0, false → 0.0</w:t>
            </w:r>
          </w:p>
        </w:tc>
      </w:tr>
      <w:tr w:rsidR="00642C15" w14:paraId="764ECFDF"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68FE9EE" w14:textId="77777777" w:rsidR="00642C15" w:rsidRDefault="008B6855">
            <w:r>
              <w:rPr>
                <w:sz w:val="20"/>
                <w:szCs w:val="20"/>
              </w:rPr>
              <w:t>percentage</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A0E1F56" w14:textId="77777777" w:rsidR="00642C15" w:rsidRDefault="008B6855">
            <w:r>
              <w:rPr>
                <w:rFonts w:ascii="Courier New" w:eastAsia="Courier New" w:hAnsi="Courier New" w:cs="Courier New"/>
                <w:color w:val="C7254E"/>
                <w:sz w:val="20"/>
                <w:szCs w:val="20"/>
              </w:rPr>
              <w:t>value / 100</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AD4F1D9" w14:textId="77777777" w:rsidR="00642C15" w:rsidRDefault="008B6855">
            <w:r>
              <w:rPr>
                <w:sz w:val="20"/>
                <w:szCs w:val="20"/>
              </w:rPr>
              <w:t>Lineare Skalierung, da Prozentwerte bereits normiert sind</w:t>
            </w:r>
          </w:p>
        </w:tc>
      </w:tr>
      <w:tr w:rsidR="00642C15" w14:paraId="364336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898723" w14:textId="77777777" w:rsidR="00642C15" w:rsidRDefault="008B6855">
            <w:r>
              <w:rPr>
                <w:sz w:val="20"/>
                <w:szCs w:val="20"/>
              </w:rPr>
              <w:t>number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121D8F" w14:textId="77777777" w:rsidR="00642C15" w:rsidRDefault="008B6855">
            <w:r>
              <w:rPr>
                <w:rFonts w:ascii="Courier New" w:eastAsia="Courier New" w:hAnsi="Courier New" w:cs="Courier New"/>
                <w:color w:val="C7254E"/>
                <w:sz w:val="20"/>
                <w:szCs w:val="20"/>
              </w:rPr>
              <w:t>(v – min) / (max – 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04DA9A" w14:textId="77777777" w:rsidR="00642C15" w:rsidRDefault="008B6855">
            <w:r>
              <w:rPr>
                <w:sz w:val="20"/>
                <w:szCs w:val="20"/>
              </w:rPr>
              <w:t>Min-Max-Normalisierung; Ergebnis ist 0 bei Minimum und 1 bei Maximum des angegebenen Wertebereichs</w:t>
            </w:r>
          </w:p>
        </w:tc>
      </w:tr>
      <w:tr w:rsidR="00642C15" w14:paraId="5BC5D4C2"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B7FCD27" w14:textId="77777777" w:rsidR="00642C15" w:rsidRDefault="008B6855">
            <w:r>
              <w:rPr>
                <w:sz w:val="20"/>
                <w:szCs w:val="20"/>
              </w:rPr>
              <w:t>select</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0EE2A1D" w14:textId="77777777" w:rsidR="00642C15" w:rsidRDefault="008B6855">
            <w:r>
              <w:rPr>
                <w:rFonts w:ascii="Courier New" w:eastAsia="Courier New" w:hAnsi="Courier New" w:cs="Courier New"/>
                <w:color w:val="C7254E"/>
                <w:sz w:val="20"/>
                <w:szCs w:val="20"/>
              </w:rPr>
              <w:t>index / (n – 1)</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E647328" w14:textId="77777777" w:rsidR="00642C15" w:rsidRDefault="008B6855">
            <w:pPr>
              <w:rPr>
                <w:sz w:val="20"/>
                <w:szCs w:val="20"/>
              </w:rPr>
            </w:pPr>
            <w:r>
              <w:rPr>
                <w:sz w:val="20"/>
                <w:szCs w:val="20"/>
              </w:rPr>
              <w:t>Ordinale Kodierung: erste Option → 0, letzte → 1, gleichmäßige Verteilung dazwischen</w:t>
            </w:r>
          </w:p>
          <w:p w14:paraId="4BD23EF3" w14:textId="6E3B589F" w:rsidR="0041281C" w:rsidRPr="0041281C" w:rsidRDefault="0041281C" w:rsidP="0041281C">
            <w:pPr>
              <w:jc w:val="both"/>
              <w:rPr>
                <w:b/>
                <w:bCs/>
                <w:sz w:val="20"/>
                <w:szCs w:val="20"/>
              </w:rPr>
            </w:pPr>
            <w:r>
              <w:rPr>
                <w:b/>
                <w:bCs/>
                <w:sz w:val="20"/>
                <w:szCs w:val="20"/>
              </w:rPr>
              <w:t>Voraussetzung: In aufsteigender Reihenfolge sortiert.</w:t>
            </w:r>
          </w:p>
        </w:tc>
      </w:tr>
    </w:tbl>
    <w:p w14:paraId="4F7FEBAB" w14:textId="77777777" w:rsidR="00642C15" w:rsidRDefault="00642C1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C15" w14:paraId="69B3C8AF" w14:textId="77777777">
        <w:tc>
          <w:tcPr>
            <w:tcW w:w="0" w:type="auto"/>
            <w:tcBorders>
              <w:top w:val="single" w:sz="4" w:space="0" w:color="2E5F8A"/>
              <w:left w:val="single" w:sz="12" w:space="0" w:color="2E5F8A"/>
              <w:bottom w:val="single" w:sz="1" w:space="0" w:color="2E5F8A"/>
              <w:right w:val="single" w:sz="1" w:space="0" w:color="2E5F8A"/>
            </w:tcBorders>
            <w:shd w:val="clear" w:color="auto" w:fill="EEF3FB"/>
            <w:tcMar>
              <w:top w:w="120" w:type="dxa"/>
              <w:left w:w="200" w:type="dxa"/>
              <w:bottom w:w="120" w:type="dxa"/>
              <w:right w:w="140" w:type="dxa"/>
            </w:tcMar>
          </w:tcPr>
          <w:p w14:paraId="7980ED1D" w14:textId="77777777" w:rsidR="00642C15" w:rsidRDefault="008B6855">
            <w:r>
              <w:rPr>
                <w:b/>
                <w:bCs/>
                <w:color w:val="1F3864"/>
                <w:sz w:val="20"/>
                <w:szCs w:val="20"/>
              </w:rPr>
              <w:t>Invertierung negativer Indikatoren (isNegative = true)</w:t>
            </w:r>
          </w:p>
          <w:p w14:paraId="62156440" w14:textId="77777777" w:rsidR="00642C15" w:rsidRDefault="008B6855">
            <w:r>
              <w:rPr>
                <w:sz w:val="20"/>
                <w:szCs w:val="20"/>
              </w:rPr>
              <w:t>Inputs, bei denen ein hoher Rohwert nachteilig für das Projekt ist (z. B. Datenkomplexität, Teamfluktuation), werden nach der Normalisierung invertiert: x' = 1 – x. Dadurch zeigt nach der Normalisierung ein höherer Wert konsistent in Richtung "günstiger für das Projekt".</w:t>
            </w:r>
          </w:p>
        </w:tc>
      </w:tr>
    </w:tbl>
    <w:p w14:paraId="3126CED2" w14:textId="77777777" w:rsidR="00642C15" w:rsidRDefault="00642C15">
      <w:pPr>
        <w:pBdr>
          <w:bottom w:val="single" w:sz="4" w:space="1" w:color="CCCCCC"/>
        </w:pBdr>
        <w:spacing w:before="160" w:after="160"/>
      </w:pPr>
    </w:p>
    <w:p w14:paraId="38D921AF" w14:textId="77777777" w:rsidR="00642C15" w:rsidRDefault="008B6855">
      <w:pPr>
        <w:pStyle w:val="berschrift1"/>
      </w:pPr>
      <w:r>
        <w:t>4. Gewichtung und Kategorie-Scores</w:t>
      </w:r>
    </w:p>
    <w:p w14:paraId="7CEE16C7" w14:textId="77777777" w:rsidR="00642C15" w:rsidRDefault="008B6855">
      <w:pPr>
        <w:pStyle w:val="berschrift2"/>
      </w:pPr>
      <w:r>
        <w:t>4.1 applyWeights()</w:t>
      </w:r>
    </w:p>
    <w:p w14:paraId="54ECD930" w14:textId="77777777" w:rsidR="00642C15" w:rsidRDefault="008B6855">
      <w:pPr>
        <w:spacing w:before="80" w:after="100"/>
      </w:pPr>
      <w:r>
        <w:rPr>
          <w:b/>
          <w:bCs/>
        </w:rPr>
        <w:t xml:space="preserve">Signatur: </w:t>
      </w:r>
      <w:r>
        <w:rPr>
          <w:rFonts w:ascii="Courier New" w:eastAsia="Courier New" w:hAnsi="Courier New" w:cs="Courier New"/>
          <w:color w:val="C7254E"/>
          <w:sz w:val="20"/>
          <w:szCs w:val="20"/>
        </w:rPr>
        <w:t>applyWeights(normalizedValues, weights: WeightConfig): NormalizedValue[]</w:t>
      </w:r>
    </w:p>
    <w:p w14:paraId="1D54DAE2" w14:textId="77777777" w:rsidR="00642C15" w:rsidRDefault="008B6855">
      <w:pPr>
        <w:spacing w:before="80" w:after="100"/>
      </w:pPr>
      <w:r>
        <w:t>Die Methode normalisiert die übergebenen Rohgewichte so, dass ihre Summe exakt 1 ergibt:</w:t>
      </w:r>
    </w:p>
    <w:p w14:paraId="5B5DDEC6" w14:textId="77777777" w:rsidR="00642C15" w:rsidRDefault="008B6855">
      <w:pPr>
        <w:spacing w:before="60" w:after="60"/>
        <w:ind w:left="720"/>
      </w:pPr>
      <w:r>
        <w:rPr>
          <w:rFonts w:ascii="Courier New" w:eastAsia="Courier New" w:hAnsi="Courier New" w:cs="Courier New"/>
          <w:color w:val="1A1A2E"/>
          <w:sz w:val="18"/>
          <w:szCs w:val="18"/>
        </w:rPr>
        <w:t>w_norm_i  =  w_raw_i  /  Σ w_raw_j   für alle j</w:t>
      </w:r>
    </w:p>
    <w:p w14:paraId="3B38477E" w14:textId="77777777" w:rsidR="00642C15" w:rsidRDefault="008B6855">
      <w:pPr>
        <w:spacing w:before="80" w:after="100"/>
      </w:pPr>
      <w:r>
        <w:t>Dadurch ist die Gewichtungslogik invariant gegenüber der Skalierung der Rohgewichte: Ein Gewichtsvektor [2, 2, 2] und [1, 1, 1] erzeugen identische Ergebnisse.</w:t>
      </w:r>
    </w:p>
    <w:p w14:paraId="791B8662" w14:textId="77777777" w:rsidR="00642C15" w:rsidRDefault="008B6855">
      <w:pPr>
        <w:pStyle w:val="berschrift2"/>
      </w:pPr>
      <w:r>
        <w:t>4.2 calculateCategoryScores()</w:t>
      </w:r>
    </w:p>
    <w:p w14:paraId="2FFF6719" w14:textId="77777777" w:rsidR="00642C15" w:rsidRDefault="008B6855">
      <w:pPr>
        <w:spacing w:before="80" w:after="100"/>
      </w:pPr>
      <w:r>
        <w:rPr>
          <w:b/>
          <w:bCs/>
        </w:rPr>
        <w:t xml:space="preserve">Signatur: </w:t>
      </w:r>
      <w:r>
        <w:rPr>
          <w:rFonts w:ascii="Courier New" w:eastAsia="Courier New" w:hAnsi="Courier New" w:cs="Courier New"/>
          <w:color w:val="C7254E"/>
          <w:sz w:val="20"/>
          <w:szCs w:val="20"/>
        </w:rPr>
        <w:t>calculateCategoryScores(weightedValues, inputs): CategoryScore</w:t>
      </w:r>
    </w:p>
    <w:p w14:paraId="7422E98B" w14:textId="77777777" w:rsidR="00642C15" w:rsidRDefault="008B6855">
      <w:pPr>
        <w:spacing w:before="80" w:after="100"/>
      </w:pPr>
      <w:r>
        <w:t xml:space="preserve">Eingaben werden zunächst nach ihrer </w:t>
      </w:r>
      <w:r>
        <w:rPr>
          <w:rFonts w:ascii="Courier New" w:eastAsia="Courier New" w:hAnsi="Courier New" w:cs="Courier New"/>
          <w:color w:val="C7254E"/>
          <w:sz w:val="20"/>
          <w:szCs w:val="20"/>
        </w:rPr>
        <w:t>category</w:t>
      </w:r>
      <w:r>
        <w:t>-Eigenschaft gruppiert. Innerhalb jeder Kategorie wird ein gewichteter Durchschnitt berechnet:</w:t>
      </w:r>
    </w:p>
    <w:p w14:paraId="7A6673ED" w14:textId="77777777" w:rsidR="00642C15" w:rsidRDefault="008B6855">
      <w:pPr>
        <w:spacing w:before="60" w:after="60"/>
        <w:ind w:left="720"/>
      </w:pPr>
      <w:r>
        <w:rPr>
          <w:rFonts w:ascii="Courier New" w:eastAsia="Courier New" w:hAnsi="Courier New" w:cs="Courier New"/>
          <w:color w:val="1A1A2E"/>
          <w:sz w:val="18"/>
          <w:szCs w:val="18"/>
        </w:rPr>
        <w:t>score_cat  =  Σ (x_i · w_i)  /  Σ w_i   für alle i ∈ Kategorie</w:t>
      </w:r>
    </w:p>
    <w:p w14:paraId="477A43CF" w14:textId="77777777" w:rsidR="00642C15" w:rsidRDefault="008B6855">
      <w:pPr>
        <w:spacing w:before="80" w:after="100"/>
      </w:pPr>
      <w:r>
        <w:t xml:space="preserve">Enthält eine Kategorie keine Eingaben, wird </w:t>
      </w:r>
      <w:r>
        <w:rPr>
          <w:b/>
          <w:bCs/>
        </w:rPr>
        <w:t>0.5 als neutraler Standardwert</w:t>
      </w:r>
      <w:r>
        <w:t xml:space="preserve"> gesetzt, um Berechnungen mit Standardparametern zu stabilisieren.</w:t>
      </w:r>
    </w:p>
    <w:p w14:paraId="388827A7" w14:textId="77777777" w:rsidR="00642C15" w:rsidRDefault="008B6855">
      <w:pPr>
        <w:pStyle w:val="berschrift2"/>
      </w:pPr>
      <w:r>
        <w:t>4.3 calculateOverallScore()</w:t>
      </w:r>
    </w:p>
    <w:p w14:paraId="5A660822" w14:textId="77777777" w:rsidR="00642C15" w:rsidRDefault="008B6855">
      <w:pPr>
        <w:spacing w:before="80" w:after="100"/>
      </w:pPr>
      <w:r>
        <w:lastRenderedPageBreak/>
        <w:t>Der Gesamtscore fasst den Projektzustand in einem einzigen Wert zusammen. Da hohe Complexity und Uncertainty negativ sind, werden diese Terme invertiert:</w:t>
      </w:r>
    </w:p>
    <w:p w14:paraId="1752F1B9" w14:textId="77777777" w:rsidR="00642C15" w:rsidRDefault="008B6855">
      <w:pPr>
        <w:spacing w:before="60" w:after="60"/>
        <w:ind w:left="720"/>
      </w:pPr>
      <w:r>
        <w:rPr>
          <w:rFonts w:ascii="Courier New" w:eastAsia="Courier New" w:hAnsi="Courier New" w:cs="Courier New"/>
          <w:color w:val="1A1A2E"/>
          <w:sz w:val="18"/>
          <w:szCs w:val="18"/>
        </w:rPr>
        <w:t>overallScore  =  readiness × 0.4  +  (1 – complexity) × 0.3  +  (1 – uncertainty) × 0.3</w:t>
      </w:r>
    </w:p>
    <w:p w14:paraId="640FF2DD" w14:textId="77777777" w:rsidR="00642C15" w:rsidRDefault="008B6855">
      <w:pPr>
        <w:spacing w:before="80" w:after="100"/>
      </w:pPr>
      <w:r>
        <w:t>Die Gewichtung 0.4 / 0.3 / 0.3 reflektiert die empirische Annahme, dass Projektvorbereitung (Readiness) den stärksten Einzeleinfluss auf den Projekterfolg hat.</w:t>
      </w:r>
    </w:p>
    <w:p w14:paraId="52E4EC04" w14:textId="77777777" w:rsidR="00642C15" w:rsidRDefault="00642C15">
      <w:pPr>
        <w:pBdr>
          <w:bottom w:val="single" w:sz="4" w:space="1" w:color="CCCCCC"/>
        </w:pBdr>
        <w:spacing w:before="160" w:after="160"/>
      </w:pPr>
    </w:p>
    <w:p w14:paraId="333F263A" w14:textId="77777777" w:rsidR="00642C15" w:rsidRDefault="008B6855">
      <w:pPr>
        <w:pStyle w:val="berschrift1"/>
      </w:pPr>
      <w:r>
        <w:t>5. Aufwandsschätzung</w:t>
      </w:r>
    </w:p>
    <w:p w14:paraId="18AA5192" w14:textId="77777777" w:rsidR="00642C15" w:rsidRDefault="008B6855">
      <w:pPr>
        <w:pStyle w:val="berschrift2"/>
      </w:pPr>
      <w:r>
        <w:t>5.1 estimateEffort()</w:t>
      </w:r>
    </w:p>
    <w:p w14:paraId="590800FD" w14:textId="77777777" w:rsidR="00642C15" w:rsidRDefault="008B6855">
      <w:pPr>
        <w:spacing w:before="80" w:after="100"/>
      </w:pPr>
      <w:r>
        <w:rPr>
          <w:b/>
          <w:bCs/>
        </w:rPr>
        <w:t xml:space="preserve">Signatur: </w:t>
      </w:r>
      <w:r>
        <w:rPr>
          <w:rFonts w:ascii="Courier New" w:eastAsia="Courier New" w:hAnsi="Courier New" w:cs="Courier New"/>
          <w:color w:val="C7254E"/>
          <w:sz w:val="20"/>
          <w:szCs w:val="20"/>
        </w:rPr>
        <w:t>estimateEffort(projectType, categoryScores, includeRiskBuffer?): number</w:t>
      </w:r>
    </w:p>
    <w:p w14:paraId="231AD788" w14:textId="77777777" w:rsidR="00642C15" w:rsidRDefault="008B6855">
      <w:pPr>
        <w:spacing w:before="80" w:after="100"/>
      </w:pPr>
      <w:r>
        <w:t xml:space="preserve">Der Aufwand in Personenwochen wird durch multiplikative Skalierung eines projekttyp-spezifischen Basiswerts berechnet. Der Basisaufwand ist in der Konstante </w:t>
      </w:r>
      <w:r>
        <w:rPr>
          <w:rFonts w:ascii="Courier New" w:eastAsia="Courier New" w:hAnsi="Courier New" w:cs="Courier New"/>
          <w:color w:val="C7254E"/>
          <w:sz w:val="20"/>
          <w:szCs w:val="20"/>
        </w:rPr>
        <w:t>BASE_EFFORT[projectType]</w:t>
      </w:r>
      <w:r>
        <w:t xml:space="preserve"> hinterlegt.</w:t>
      </w:r>
    </w:p>
    <w:p w14:paraId="57CB4C47" w14:textId="77777777" w:rsidR="00642C15" w:rsidRDefault="008B6855">
      <w:pPr>
        <w:pStyle w:val="berschrift3"/>
      </w:pPr>
      <w:r>
        <w:t>Skalierungsfaktoren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3600"/>
      </w:tblGrid>
      <w:tr w:rsidR="00642C15" w14:paraId="7AD92D0D" w14:textId="77777777">
        <w:tc>
          <w:tcPr>
            <w:tcW w:w="26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2D3A31C3" w14:textId="77777777" w:rsidR="00642C15" w:rsidRDefault="008B6855">
            <w:r>
              <w:rPr>
                <w:b/>
                <w:bCs/>
                <w:color w:val="FFFFFF"/>
                <w:sz w:val="20"/>
                <w:szCs w:val="20"/>
              </w:rPr>
              <w:t>Faktor</w:t>
            </w:r>
          </w:p>
        </w:tc>
        <w:tc>
          <w:tcPr>
            <w:tcW w:w="316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2C93C3E2" w14:textId="77777777" w:rsidR="00642C15" w:rsidRDefault="008B6855">
            <w:r>
              <w:rPr>
                <w:b/>
                <w:bCs/>
                <w:color w:val="FFFFFF"/>
                <w:sz w:val="20"/>
                <w:szCs w:val="20"/>
              </w:rPr>
              <w:t>Formel</w:t>
            </w:r>
          </w:p>
        </w:tc>
        <w:tc>
          <w:tcPr>
            <w:tcW w:w="36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3BCE77DD" w14:textId="77777777" w:rsidR="00642C15" w:rsidRDefault="008B6855">
            <w:r>
              <w:rPr>
                <w:b/>
                <w:bCs/>
                <w:color w:val="FFFFFF"/>
                <w:sz w:val="20"/>
                <w:szCs w:val="20"/>
              </w:rPr>
              <w:t>Rationale</w:t>
            </w:r>
          </w:p>
        </w:tc>
      </w:tr>
      <w:tr w:rsidR="00642C15" w14:paraId="189E10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A24EC5" w14:textId="77777777" w:rsidR="00642C15" w:rsidRDefault="008B6855">
            <w:r>
              <w:rPr>
                <w:sz w:val="20"/>
                <w:szCs w:val="20"/>
              </w:rPr>
              <w:t>Readiness-Faktor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B4CFEF" w14:textId="77777777" w:rsidR="00642C15" w:rsidRDefault="008B6855">
            <w:r>
              <w:rPr>
                <w:rFonts w:ascii="Courier New" w:eastAsia="Courier New" w:hAnsi="Courier New" w:cs="Courier New"/>
                <w:color w:val="C7254E"/>
                <w:sz w:val="20"/>
                <w:szCs w:val="20"/>
              </w:rPr>
              <w:t>1 + (0.5 – readiness)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99BAC0" w14:textId="72AB9BDE" w:rsidR="00642C15" w:rsidRDefault="008B6855">
            <w:r>
              <w:rPr>
                <w:sz w:val="20"/>
                <w:szCs w:val="20"/>
              </w:rPr>
              <w:t>Bei readiness = 0.5: neutral (×1). Bei readiness = 0: Aufwand ×1.5, bei readiness = 1: Reduktion auf ×0.</w:t>
            </w:r>
            <w:r w:rsidR="0085063A">
              <w:rPr>
                <w:sz w:val="20"/>
                <w:szCs w:val="20"/>
              </w:rPr>
              <w:t>8</w:t>
            </w:r>
          </w:p>
        </w:tc>
      </w:tr>
      <w:tr w:rsidR="00642C15" w14:paraId="27FD4FFE"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2F3584E" w14:textId="77777777" w:rsidR="00642C15" w:rsidRDefault="008B6855">
            <w:r>
              <w:rPr>
                <w:sz w:val="20"/>
                <w:szCs w:val="20"/>
              </w:rPr>
              <w:t>Complexity-Faktor</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C8F616E" w14:textId="77777777" w:rsidR="00642C15" w:rsidRDefault="008B6855">
            <w:r>
              <w:rPr>
                <w:rFonts w:ascii="Courier New" w:eastAsia="Courier New" w:hAnsi="Courier New" w:cs="Courier New"/>
                <w:color w:val="C7254E"/>
                <w:sz w:val="20"/>
                <w:szCs w:val="20"/>
              </w:rPr>
              <w:t>1 + complexity × 0.8</w:t>
            </w:r>
          </w:p>
        </w:tc>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399A28A" w14:textId="77777777" w:rsidR="00642C15" w:rsidRDefault="008B6855">
            <w:r>
              <w:rPr>
                <w:sz w:val="20"/>
                <w:szCs w:val="20"/>
              </w:rPr>
              <w:t>Maximaler Aufwandszuwachs bei complexity = 1: ×1.8</w:t>
            </w:r>
          </w:p>
        </w:tc>
      </w:tr>
      <w:tr w:rsidR="00642C15" w14:paraId="157291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F27E2B" w14:textId="77777777" w:rsidR="00642C15" w:rsidRDefault="008B6855">
            <w:r>
              <w:rPr>
                <w:sz w:val="20"/>
                <w:szCs w:val="20"/>
              </w:rPr>
              <w:t>Uncertainty-Faktor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DF089E" w14:textId="77777777" w:rsidR="00642C15" w:rsidRDefault="008B6855">
            <w:r>
              <w:rPr>
                <w:rFonts w:ascii="Courier New" w:eastAsia="Courier New" w:hAnsi="Courier New" w:cs="Courier New"/>
                <w:color w:val="C7254E"/>
                <w:sz w:val="20"/>
                <w:szCs w:val="20"/>
              </w:rPr>
              <w:t>1 + uncertainty × 0.6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5A7CCC" w14:textId="77777777" w:rsidR="00642C15" w:rsidRDefault="008B6855">
            <w:r>
              <w:rPr>
                <w:sz w:val="20"/>
                <w:szCs w:val="20"/>
              </w:rPr>
              <w:t>Maximaler Aufwandszuwachs bei uncertainty = 1: ×1.6</w:t>
            </w:r>
          </w:p>
        </w:tc>
      </w:tr>
      <w:tr w:rsidR="00642C15" w14:paraId="3E890A8B"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741CAFA" w14:textId="77777777" w:rsidR="00642C15" w:rsidRDefault="008B6855">
            <w:r>
              <w:rPr>
                <w:sz w:val="20"/>
                <w:szCs w:val="20"/>
              </w:rPr>
              <w:t>Readiness-Penalty</w:t>
            </w:r>
          </w:p>
        </w:tc>
        <w:tc>
          <w:tcPr>
            <w:tcW w:w="31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214C47E" w14:textId="77777777" w:rsidR="00642C15" w:rsidRDefault="008B6855">
            <w:r>
              <w:rPr>
                <w:rFonts w:ascii="Courier New" w:eastAsia="Courier New" w:hAnsi="Courier New" w:cs="Courier New"/>
                <w:color w:val="C7254E"/>
                <w:sz w:val="20"/>
                <w:szCs w:val="20"/>
              </w:rPr>
              <w:t>readiness &lt; 0.3 ? ×1.2 : ×1.0</w:t>
            </w:r>
          </w:p>
        </w:tc>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1C2F049" w14:textId="6E19A43D" w:rsidR="00642C15" w:rsidRDefault="0085063A">
            <w:r>
              <w:rPr>
                <w:sz w:val="20"/>
                <w:szCs w:val="20"/>
              </w:rPr>
              <w:t>Gleitender</w:t>
            </w:r>
            <w:r w:rsidR="008B6855">
              <w:rPr>
                <w:sz w:val="20"/>
                <w:szCs w:val="20"/>
              </w:rPr>
              <w:t xml:space="preserve"> Aufschlag von</w:t>
            </w:r>
            <w:r>
              <w:rPr>
                <w:sz w:val="20"/>
                <w:szCs w:val="20"/>
              </w:rPr>
              <w:t xml:space="preserve"> bis zu</w:t>
            </w:r>
            <w:r w:rsidR="008B6855">
              <w:rPr>
                <w:sz w:val="20"/>
                <w:szCs w:val="20"/>
              </w:rPr>
              <w:t xml:space="preserve"> 20 % bei sehr schlechter Vorbereitung als Schwellenwertstrafe</w:t>
            </w:r>
          </w:p>
        </w:tc>
      </w:tr>
    </w:tbl>
    <w:p w14:paraId="2A665129" w14:textId="77777777" w:rsidR="00642C15" w:rsidRDefault="00642C15">
      <w:pPr>
        <w:spacing w:before="160" w:after="80"/>
      </w:pPr>
    </w:p>
    <w:p w14:paraId="3244637E" w14:textId="77777777" w:rsidR="00642C15" w:rsidRDefault="008B6855">
      <w:pPr>
        <w:spacing w:before="80" w:after="100"/>
      </w:pPr>
      <w:r>
        <w:t>Die Gesamtformel lautet:</w:t>
      </w:r>
    </w:p>
    <w:p w14:paraId="04A9AB33" w14:textId="77777777" w:rsidR="00642C15" w:rsidRDefault="008B6855">
      <w:pPr>
        <w:spacing w:before="60" w:after="60"/>
        <w:ind w:left="720"/>
      </w:pPr>
      <w:r>
        <w:rPr>
          <w:rFonts w:ascii="Courier New" w:eastAsia="Courier New" w:hAnsi="Courier New" w:cs="Courier New"/>
          <w:color w:val="1A1A2E"/>
          <w:sz w:val="18"/>
          <w:szCs w:val="18"/>
        </w:rPr>
        <w:t>effort  =  BASE_EFFORT × F_readiness × F_complexity × F_uncertainty × F_penalty</w:t>
      </w:r>
    </w:p>
    <w:p w14:paraId="7C196F82" w14:textId="77777777" w:rsidR="00642C15" w:rsidRDefault="008B6855">
      <w:pPr>
        <w:spacing w:before="80" w:after="100"/>
      </w:pPr>
      <w:r>
        <w:t xml:space="preserve">Die multiplikative Verknüpfung ist entscheidend: Schlechte Werte in mehreren Kategorien verstärken sich gegenseitig superlinear, anstatt lediglich additiv zu akkumulieren. Ein Projekt mit complexity = 0.8 </w:t>
      </w:r>
      <w:r>
        <w:rPr>
          <w:b/>
          <w:bCs/>
        </w:rPr>
        <w:t>und</w:t>
      </w:r>
      <w:r>
        <w:t xml:space="preserve"> uncertainty = 0.8 hat damit einen deutlich höheren Aufwand als die Summe beider Einzeleffekte erwarten ließe.</w:t>
      </w:r>
    </w:p>
    <w:p w14:paraId="76D7BFF7" w14:textId="77777777" w:rsidR="00642C15" w:rsidRDefault="008B6855">
      <w:pPr>
        <w:pStyle w:val="berschrift3"/>
      </w:pPr>
      <w:r>
        <w:t>Optionaler Risikopuffer</w:t>
      </w:r>
    </w:p>
    <w:p w14:paraId="4DEC5CBE" w14:textId="77777777" w:rsidR="00642C15" w:rsidRDefault="008B6855">
      <w:pPr>
        <w:spacing w:before="80" w:after="100"/>
      </w:pPr>
      <w:r>
        <w:t xml:space="preserve">Wenn </w:t>
      </w:r>
      <w:r>
        <w:rPr>
          <w:rFonts w:ascii="Courier New" w:eastAsia="Courier New" w:hAnsi="Courier New" w:cs="Courier New"/>
          <w:color w:val="C7254E"/>
          <w:sz w:val="20"/>
          <w:szCs w:val="20"/>
        </w:rPr>
        <w:t>includeRiskBuffer = true</w:t>
      </w:r>
      <w:r>
        <w:t xml:space="preserve"> (Standard), wird ein prozentualer Aufschlag auf den skalierten Aufwand addiert:</w:t>
      </w:r>
    </w:p>
    <w:p w14:paraId="7FAEC228" w14:textId="77777777" w:rsidR="00642C15" w:rsidRDefault="008B6855">
      <w:pPr>
        <w:spacing w:before="60" w:after="60"/>
        <w:ind w:left="720"/>
      </w:pPr>
      <w:r>
        <w:rPr>
          <w:rFonts w:ascii="Courier New" w:eastAsia="Courier New" w:hAnsi="Courier New" w:cs="Courier New"/>
          <w:color w:val="1A1A2E"/>
          <w:sz w:val="18"/>
          <w:szCs w:val="18"/>
        </w:rPr>
        <w:t>riskLevel       =  (complexity + uncertainty) / 2</w:t>
      </w:r>
    </w:p>
    <w:p w14:paraId="6E5B7044" w14:textId="77777777" w:rsidR="00642C15" w:rsidRDefault="008B6855">
      <w:pPr>
        <w:spacing w:before="60" w:after="60"/>
        <w:ind w:left="720"/>
      </w:pPr>
      <w:r>
        <w:rPr>
          <w:rFonts w:ascii="Courier New" w:eastAsia="Courier New" w:hAnsi="Courier New" w:cs="Courier New"/>
          <w:color w:val="1A1A2E"/>
          <w:sz w:val="18"/>
          <w:szCs w:val="18"/>
        </w:rPr>
        <w:t>bufferPercent   =  riskLevel × 0.15                  // max. 15 %</w:t>
      </w:r>
    </w:p>
    <w:p w14:paraId="44EEC4BC" w14:textId="77777777" w:rsidR="00642C15" w:rsidRDefault="008B6855">
      <w:pPr>
        <w:spacing w:before="60" w:after="60"/>
        <w:ind w:left="720"/>
      </w:pPr>
      <w:r>
        <w:rPr>
          <w:rFonts w:ascii="Courier New" w:eastAsia="Courier New" w:hAnsi="Courier New" w:cs="Courier New"/>
          <w:color w:val="1A1A2E"/>
          <w:sz w:val="18"/>
          <w:szCs w:val="18"/>
        </w:rPr>
        <w:t>effort_final    =  effort × (1 + bufferPercent)</w:t>
      </w:r>
    </w:p>
    <w:p w14:paraId="16FE26A8" w14:textId="77777777" w:rsidR="00642C15" w:rsidRDefault="008B6855">
      <w:pPr>
        <w:spacing w:before="80" w:after="100"/>
      </w:pPr>
      <w:r>
        <w:lastRenderedPageBreak/>
        <w:t xml:space="preserve">Der Puffer wird separat als </w:t>
      </w:r>
      <w:r>
        <w:rPr>
          <w:rFonts w:ascii="Courier New" w:eastAsia="Courier New" w:hAnsi="Courier New" w:cs="Courier New"/>
          <w:color w:val="C7254E"/>
          <w:sz w:val="20"/>
          <w:szCs w:val="20"/>
        </w:rPr>
        <w:t>effortBreakdown.bufferEffort</w:t>
      </w:r>
      <w:r>
        <w:t xml:space="preserve"> ausgewiesen, damit nachgelagerte Phasenberechnungen Basis- und Pufferanteil unabhängig voneinander verteilen können.</w:t>
      </w:r>
    </w:p>
    <w:p w14:paraId="2F1DC403" w14:textId="77777777" w:rsidR="00642C15" w:rsidRDefault="00642C15">
      <w:pPr>
        <w:pBdr>
          <w:bottom w:val="single" w:sz="4" w:space="1" w:color="CCCCCC"/>
        </w:pBdr>
        <w:spacing w:before="160" w:after="160"/>
      </w:pPr>
    </w:p>
    <w:p w14:paraId="23F57DC9" w14:textId="77777777" w:rsidR="00642C15" w:rsidRDefault="008B6855">
      <w:pPr>
        <w:pStyle w:val="berschrift1"/>
      </w:pPr>
      <w:r>
        <w:t>6. Projektdauer und Backlog</w:t>
      </w:r>
    </w:p>
    <w:p w14:paraId="1BE74191" w14:textId="77777777" w:rsidR="00642C15" w:rsidRDefault="008B6855">
      <w:pPr>
        <w:pStyle w:val="berschrift2"/>
      </w:pPr>
      <w:r>
        <w:t>6.1 estimateDuration()</w:t>
      </w:r>
    </w:p>
    <w:p w14:paraId="11CB1E56" w14:textId="77777777" w:rsidR="00642C15" w:rsidRDefault="008B6855">
      <w:pPr>
        <w:spacing w:before="80" w:after="100"/>
      </w:pPr>
      <w:r>
        <w:rPr>
          <w:b/>
          <w:bCs/>
        </w:rPr>
        <w:t xml:space="preserve">Signatur: </w:t>
      </w:r>
      <w:r>
        <w:rPr>
          <w:rFonts w:ascii="Courier New" w:eastAsia="Courier New" w:hAnsi="Courier New" w:cs="Courier New"/>
          <w:color w:val="C7254E"/>
          <w:sz w:val="20"/>
          <w:szCs w:val="20"/>
        </w:rPr>
        <w:t>estimateDuration(effortPersonWeeks, teamSize, productivityFactor?): number</w:t>
      </w:r>
    </w:p>
    <w:p w14:paraId="385787BC" w14:textId="77777777" w:rsidR="00642C15" w:rsidRDefault="008B6855">
      <w:pPr>
        <w:spacing w:before="80" w:after="100"/>
      </w:pPr>
      <w:r>
        <w:t>Die kalendarische Dauer ergibt sich aus einer einfachen Parallelisierungsannahme:</w:t>
      </w:r>
    </w:p>
    <w:p w14:paraId="10FEFD82" w14:textId="77777777" w:rsidR="00642C15" w:rsidRDefault="008B6855">
      <w:pPr>
        <w:spacing w:before="60" w:after="60"/>
        <w:ind w:left="720"/>
      </w:pPr>
      <w:r>
        <w:rPr>
          <w:rFonts w:ascii="Courier New" w:eastAsia="Courier New" w:hAnsi="Courier New" w:cs="Courier New"/>
          <w:color w:val="1A1A2E"/>
          <w:sz w:val="18"/>
          <w:szCs w:val="18"/>
        </w:rPr>
        <w:t>durationWeeks  =  ⌈ effortPersonWeeks / (teamSize × productivityFactor) ⌉</w:t>
      </w:r>
    </w:p>
    <w:p w14:paraId="21501F46" w14:textId="77777777" w:rsidR="00642C15" w:rsidRDefault="008B6855">
      <w:pPr>
        <w:spacing w:before="80" w:after="100"/>
      </w:pPr>
      <w:r>
        <w:t xml:space="preserve">Der </w:t>
      </w:r>
      <w:r>
        <w:rPr>
          <w:b/>
          <w:bCs/>
        </w:rPr>
        <w:t>Produktivitätsfaktor</w:t>
      </w:r>
      <w:r>
        <w:t xml:space="preserve"> (Standard: 0.6) modelliert, dass ein Entwickler in der Praxis nur einen Teil seiner Zeit direkt produktiv am Projekt arbeitet – der Rest entfällt auf Meetings, Code-Reviews, administrative Tätigkeiten etc. Das Ceiling (⌈ ⌉) stellt sicher, dass immer auf eine ganze Woche aufgerundet wird.</w:t>
      </w:r>
    </w:p>
    <w:p w14:paraId="19CC7901" w14:textId="77777777" w:rsidR="00642C15" w:rsidRDefault="008B6855">
      <w:pPr>
        <w:pStyle w:val="berschrift2"/>
      </w:pPr>
      <w:r>
        <w:t>6.2 calculateBacklog()</w:t>
      </w:r>
    </w:p>
    <w:p w14:paraId="544AD428" w14:textId="1E0E9A9C" w:rsidR="00642C15" w:rsidRDefault="008B6855">
      <w:pPr>
        <w:spacing w:before="80" w:after="100"/>
      </w:pPr>
      <w:r>
        <w:rPr>
          <w:b/>
          <w:bCs/>
        </w:rPr>
        <w:t xml:space="preserve">Signatur: </w:t>
      </w:r>
      <w:r>
        <w:rPr>
          <w:rFonts w:ascii="Courier New" w:eastAsia="Courier New" w:hAnsi="Courier New" w:cs="Courier New"/>
          <w:color w:val="C7254E"/>
          <w:sz w:val="20"/>
          <w:szCs w:val="20"/>
        </w:rPr>
        <w:t>calculateBacklog(</w:t>
      </w:r>
      <w:r w:rsidR="0085063A">
        <w:rPr>
          <w:rFonts w:ascii="Courier New" w:eastAsia="Courier New" w:hAnsi="Courier New" w:cs="Courier New"/>
          <w:color w:val="C7254E"/>
          <w:sz w:val="20"/>
          <w:szCs w:val="20"/>
        </w:rPr>
        <w:t>baseEffor</w:t>
      </w:r>
      <w:r>
        <w:rPr>
          <w:rFonts w:ascii="Courier New" w:eastAsia="Courier New" w:hAnsi="Courier New" w:cs="Courier New"/>
          <w:color w:val="C7254E"/>
          <w:sz w:val="20"/>
          <w:szCs w:val="20"/>
        </w:rPr>
        <w:t>,</w:t>
      </w:r>
      <w:r w:rsidR="0041281C">
        <w:rPr>
          <w:rFonts w:ascii="Courier New" w:eastAsia="Courier New" w:hAnsi="Courier New" w:cs="Courier New"/>
          <w:color w:val="C7254E"/>
          <w:sz w:val="20"/>
          <w:szCs w:val="20"/>
        </w:rPr>
        <w:t xml:space="preserve"> teamSize, </w:t>
      </w:r>
      <w:r>
        <w:rPr>
          <w:rFonts w:ascii="Courier New" w:eastAsia="Courier New" w:hAnsi="Courier New" w:cs="Courier New"/>
          <w:color w:val="C7254E"/>
          <w:sz w:val="20"/>
          <w:szCs w:val="20"/>
        </w:rPr>
        <w:t xml:space="preserve"> velocityPerSprint?): { storyPoints, sprintCount }</w:t>
      </w:r>
    </w:p>
    <w:p w14:paraId="55B9F698" w14:textId="193FDF40" w:rsidR="00642C15" w:rsidRDefault="008B6855">
      <w:pPr>
        <w:spacing w:before="60" w:after="60"/>
        <w:ind w:left="720"/>
      </w:pPr>
      <w:r>
        <w:rPr>
          <w:rFonts w:ascii="Courier New" w:eastAsia="Courier New" w:hAnsi="Courier New" w:cs="Courier New"/>
          <w:color w:val="1A1A2E"/>
          <w:sz w:val="18"/>
          <w:szCs w:val="18"/>
        </w:rPr>
        <w:t>storyPoints  =  round(</w:t>
      </w:r>
      <w:r w:rsidR="0085063A">
        <w:rPr>
          <w:rFonts w:ascii="Courier New" w:eastAsia="Courier New" w:hAnsi="Courier New" w:cs="Courier New"/>
          <w:color w:val="1A1A2E"/>
          <w:sz w:val="18"/>
          <w:szCs w:val="18"/>
        </w:rPr>
        <w:t>baseEffort</w:t>
      </w:r>
      <w:r>
        <w:rPr>
          <w:rFonts w:ascii="Courier New" w:eastAsia="Courier New" w:hAnsi="Courier New" w:cs="Courier New"/>
          <w:color w:val="1A1A2E"/>
          <w:sz w:val="18"/>
          <w:szCs w:val="18"/>
        </w:rPr>
        <w:t xml:space="preserve"> × </w:t>
      </w:r>
      <w:r w:rsidR="002D76F9">
        <w:rPr>
          <w:rFonts w:ascii="Courier New" w:eastAsia="Courier New" w:hAnsi="Courier New" w:cs="Courier New"/>
          <w:color w:val="1A1A2E"/>
          <w:sz w:val="18"/>
          <w:szCs w:val="18"/>
        </w:rPr>
        <w:t>7</w:t>
      </w:r>
      <w:r>
        <w:rPr>
          <w:rFonts w:ascii="Courier New" w:eastAsia="Courier New" w:hAnsi="Courier New" w:cs="Courier New"/>
          <w:color w:val="1A1A2E"/>
          <w:sz w:val="18"/>
          <w:szCs w:val="18"/>
        </w:rPr>
        <w:t>)</w:t>
      </w:r>
    </w:p>
    <w:p w14:paraId="5A360CEB" w14:textId="77777777" w:rsidR="00642C15" w:rsidRDefault="008B6855">
      <w:pPr>
        <w:spacing w:before="60" w:after="60"/>
        <w:ind w:left="720"/>
      </w:pPr>
      <w:r>
        <w:rPr>
          <w:rFonts w:ascii="Courier New" w:eastAsia="Courier New" w:hAnsi="Courier New" w:cs="Courier New"/>
          <w:color w:val="1A1A2E"/>
          <w:sz w:val="18"/>
          <w:szCs w:val="18"/>
        </w:rPr>
        <w:t>sprintCount  =  ⌈ storyPoints / velocityPerSprint ⌉</w:t>
      </w:r>
    </w:p>
    <w:p w14:paraId="669A7C32" w14:textId="4272178D" w:rsidR="00642C15" w:rsidRDefault="0041281C">
      <w:pPr>
        <w:spacing w:before="80" w:after="100"/>
      </w:pPr>
      <w:r w:rsidRPr="0041281C">
        <w:t xml:space="preserve">Die Umrechnungskonstante </w:t>
      </w:r>
      <w:r w:rsidR="002D76F9">
        <w:t>7</w:t>
      </w:r>
      <w:r w:rsidRPr="0041281C">
        <w:t xml:space="preserve"> entspricht </w:t>
      </w:r>
      <w:r w:rsidR="002D76F9">
        <w:t>7</w:t>
      </w:r>
      <w:r w:rsidRPr="0041281C">
        <w:t xml:space="preserve"> Story Points pro Personenwoche, wobei 1 Story Point näherungsweise einem Arbeitstag entspricht.</w:t>
      </w:r>
      <w:r w:rsidR="008B6855">
        <w:t>. Story Points sind hier eine direkte lineare Transformation des Aufwands – die Methode abstrahiert dabei bewusst von teamspezifischen Skalierungsunterschieden.</w:t>
      </w:r>
    </w:p>
    <w:p w14:paraId="4F9B686C" w14:textId="77777777" w:rsidR="00642C15" w:rsidRDefault="00642C15">
      <w:pPr>
        <w:pBdr>
          <w:bottom w:val="single" w:sz="4" w:space="1" w:color="CCCCCC"/>
        </w:pBdr>
        <w:spacing w:before="160" w:after="160"/>
      </w:pPr>
    </w:p>
    <w:p w14:paraId="1801E468" w14:textId="77777777" w:rsidR="00642C15" w:rsidRDefault="008B6855">
      <w:pPr>
        <w:pStyle w:val="berschrift1"/>
      </w:pPr>
      <w:r>
        <w:t>7. Phasengenerierung</w:t>
      </w:r>
    </w:p>
    <w:p w14:paraId="1BA43636" w14:textId="77777777" w:rsidR="00642C15" w:rsidRDefault="008B6855">
      <w:pPr>
        <w:spacing w:before="80" w:after="100"/>
      </w:pPr>
      <w:r>
        <w:t>Die Phasengenerierung ist der algorithmisch komplexeste Teil des Service. Sie verteilt den Gesamtaufwand auf die DSLC-Phasen (Data Science Lifecycle) und passt dabei sowohl den Aufwandsanteil als auch die Risikoverteilung anhand der Kategorie-Scores an.</w:t>
      </w:r>
    </w:p>
    <w:p w14:paraId="05C07396" w14:textId="77777777" w:rsidR="00642C15" w:rsidRDefault="008B6855">
      <w:pPr>
        <w:pStyle w:val="berschrift2"/>
      </w:pPr>
      <w:r>
        <w:t>7.1 calculatePhaseMetrics()</w:t>
      </w:r>
    </w:p>
    <w:p w14:paraId="431EFD49" w14:textId="77777777" w:rsidR="00642C15" w:rsidRDefault="008B6855">
      <w:pPr>
        <w:spacing w:before="80" w:after="100"/>
      </w:pPr>
      <w:r>
        <w:rPr>
          <w:b/>
          <w:bCs/>
        </w:rPr>
        <w:t xml:space="preserve">Signatur: </w:t>
      </w:r>
      <w:r>
        <w:rPr>
          <w:rFonts w:ascii="Courier New" w:eastAsia="Courier New" w:hAnsi="Courier New" w:cs="Courier New"/>
          <w:color w:val="C7254E"/>
          <w:sz w:val="20"/>
          <w:szCs w:val="20"/>
        </w:rPr>
        <w:t>calculatePhaseMetrics(categoryScores): PhaseMetrics[]</w:t>
      </w:r>
      <w:r>
        <w:t xml:space="preserve"> (privat)</w:t>
      </w:r>
    </w:p>
    <w:p w14:paraId="16E7B16A" w14:textId="77777777" w:rsidR="00642C15" w:rsidRDefault="008B6855">
      <w:pPr>
        <w:spacing w:before="80" w:after="100"/>
      </w:pPr>
      <w:r>
        <w:t>Für jede Phase werden zwei Kennzahlen berechnet:</w:t>
      </w:r>
    </w:p>
    <w:p w14:paraId="518DE575" w14:textId="77777777" w:rsidR="00642C15" w:rsidRDefault="008B6855">
      <w:pPr>
        <w:pStyle w:val="Listenabsatz"/>
        <w:numPr>
          <w:ilvl w:val="0"/>
          <w:numId w:val="2"/>
        </w:numPr>
        <w:spacing w:before="60" w:after="60"/>
      </w:pPr>
      <w:r>
        <w:rPr>
          <w:b/>
          <w:bCs/>
        </w:rPr>
        <w:t>adjustmentFactor</w:t>
      </w:r>
      <w:r>
        <w:t>: Multiplikator auf den Basisanteil der Phase. Startwert ist 1.0; je nach Phasentyp wird er durch eine gewichtete Linearkombination der Kategorie-Scores erhöht. Wertebereich: [0.5, 2.0].</w:t>
      </w:r>
    </w:p>
    <w:p w14:paraId="4BA88AF3" w14:textId="77777777" w:rsidR="00642C15" w:rsidRDefault="008B6855">
      <w:pPr>
        <w:pStyle w:val="Listenabsatz"/>
        <w:numPr>
          <w:ilvl w:val="0"/>
          <w:numId w:val="2"/>
        </w:numPr>
        <w:spacing w:before="60" w:after="60"/>
      </w:pPr>
      <w:r>
        <w:rPr>
          <w:b/>
          <w:bCs/>
        </w:rPr>
        <w:t>riskWeight</w:t>
      </w:r>
      <w:r>
        <w:t>: Gewicht der Phase bei der Verteilung des globalen Risikopuffers. Wertebereich: [0.0, 1.0].</w:t>
      </w:r>
    </w:p>
    <w:p w14:paraId="1BE77721" w14:textId="77777777" w:rsidR="00642C15" w:rsidRDefault="00642C15">
      <w:pPr>
        <w:spacing w:before="120" w:after="80"/>
      </w:pPr>
    </w:p>
    <w:p w14:paraId="19D1E137" w14:textId="77777777" w:rsidR="00642C15" w:rsidRDefault="008B6855">
      <w:pPr>
        <w:spacing w:before="80" w:after="100"/>
      </w:pPr>
      <w:r>
        <w:t>Die Gewichtungskoeffizienten pro Phase reflektieren inhaltliche Überlegungen: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42C15" w14:paraId="5AA4DA8A" w14:textId="77777777">
        <w:tc>
          <w:tcPr>
            <w:tcW w:w="28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23B9C59C" w14:textId="77777777" w:rsidR="00642C15" w:rsidRDefault="008B6855">
            <w:r>
              <w:rPr>
                <w:b/>
                <w:bCs/>
                <w:color w:val="FFFFFF"/>
                <w:sz w:val="20"/>
                <w:szCs w:val="20"/>
              </w:rPr>
              <w:t>Phasentyp</w:t>
            </w:r>
          </w:p>
        </w:tc>
        <w:tc>
          <w:tcPr>
            <w:tcW w:w="328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28DEC837" w14:textId="77777777" w:rsidR="00642C15" w:rsidRDefault="008B6855">
            <w:r>
              <w:rPr>
                <w:b/>
                <w:bCs/>
                <w:color w:val="FFFFFF"/>
                <w:sz w:val="20"/>
                <w:szCs w:val="20"/>
              </w:rPr>
              <w:t>adjustmentFactor (Δ)</w:t>
            </w:r>
          </w:p>
        </w:tc>
        <w:tc>
          <w:tcPr>
            <w:tcW w:w="328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05B3B7F5" w14:textId="77777777" w:rsidR="00642C15" w:rsidRDefault="008B6855">
            <w:r>
              <w:rPr>
                <w:b/>
                <w:bCs/>
                <w:color w:val="FFFFFF"/>
                <w:sz w:val="20"/>
                <w:szCs w:val="20"/>
              </w:rPr>
              <w:t>riskWeight</w:t>
            </w:r>
          </w:p>
        </w:tc>
      </w:tr>
      <w:tr w:rsidR="00642C15" w14:paraId="266D5C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60C43E" w14:textId="77777777" w:rsidR="00642C15" w:rsidRDefault="008B6855">
            <w:r>
              <w:rPr>
                <w:sz w:val="20"/>
                <w:szCs w:val="20"/>
              </w:rPr>
              <w:lastRenderedPageBreak/>
              <w:t>Business Understanding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552568" w14:textId="77777777" w:rsidR="00642C15" w:rsidRDefault="008B6855">
            <w:r>
              <w:rPr>
                <w:rFonts w:ascii="Courier New" w:eastAsia="Courier New" w:hAnsi="Courier New" w:cs="Courier New"/>
                <w:color w:val="C7254E"/>
                <w:sz w:val="20"/>
                <w:szCs w:val="20"/>
              </w:rPr>
              <w:t>+readinessDef×0.7 + uncert×0.3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891166" w14:textId="77777777" w:rsidR="00642C15" w:rsidRDefault="008B6855">
            <w:r>
              <w:rPr>
                <w:rFonts w:ascii="Courier New" w:eastAsia="Courier New" w:hAnsi="Courier New" w:cs="Courier New"/>
                <w:color w:val="C7254E"/>
                <w:sz w:val="20"/>
                <w:szCs w:val="20"/>
              </w:rPr>
              <w:t>readinessDef×0.7 + uncert×0.3</w:t>
            </w:r>
          </w:p>
        </w:tc>
      </w:tr>
      <w:tr w:rsidR="00642C15" w14:paraId="5934AF5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C8D3FB2" w14:textId="77777777" w:rsidR="00642C15" w:rsidRDefault="008B6855">
            <w:r>
              <w:rPr>
                <w:sz w:val="20"/>
                <w:szCs w:val="20"/>
              </w:rPr>
              <w:t>Data Collection / Exploration / Preparation</w:t>
            </w:r>
          </w:p>
        </w:tc>
        <w:tc>
          <w:tcPr>
            <w:tcW w:w="328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1D15DBD" w14:textId="77777777" w:rsidR="00642C15" w:rsidRDefault="008B6855">
            <w:r>
              <w:rPr>
                <w:rFonts w:ascii="Courier New" w:eastAsia="Courier New" w:hAnsi="Courier New" w:cs="Courier New"/>
                <w:color w:val="C7254E"/>
                <w:sz w:val="20"/>
                <w:szCs w:val="20"/>
              </w:rPr>
              <w:t>+uncert×0.6 + readinessDef×0.4</w:t>
            </w:r>
          </w:p>
        </w:tc>
        <w:tc>
          <w:tcPr>
            <w:tcW w:w="328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805FFD7" w14:textId="77777777" w:rsidR="00642C15" w:rsidRDefault="008B6855">
            <w:r>
              <w:rPr>
                <w:rFonts w:ascii="Courier New" w:eastAsia="Courier New" w:hAnsi="Courier New" w:cs="Courier New"/>
                <w:color w:val="C7254E"/>
                <w:sz w:val="20"/>
                <w:szCs w:val="20"/>
              </w:rPr>
              <w:t>uncert×0.8 + readinessDef×0.2</w:t>
            </w:r>
          </w:p>
        </w:tc>
      </w:tr>
      <w:tr w:rsidR="00642C15" w14:paraId="7F4A4D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36E349" w14:textId="77777777" w:rsidR="00642C15" w:rsidRDefault="008B6855">
            <w:r>
              <w:rPr>
                <w:sz w:val="20"/>
                <w:szCs w:val="20"/>
              </w:rPr>
              <w:t>Analysis / Modeling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BA4315" w14:textId="77777777" w:rsidR="00642C15" w:rsidRDefault="008B6855">
            <w:r>
              <w:rPr>
                <w:rFonts w:ascii="Courier New" w:eastAsia="Courier New" w:hAnsi="Courier New" w:cs="Courier New"/>
                <w:color w:val="C7254E"/>
                <w:sz w:val="20"/>
                <w:szCs w:val="20"/>
              </w:rPr>
              <w:t>+complex×0.7 + uncert×0.3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AC551F" w14:textId="77777777" w:rsidR="00642C15" w:rsidRDefault="008B6855">
            <w:r>
              <w:rPr>
                <w:rFonts w:ascii="Courier New" w:eastAsia="Courier New" w:hAnsi="Courier New" w:cs="Courier New"/>
                <w:color w:val="C7254E"/>
                <w:sz w:val="20"/>
                <w:szCs w:val="20"/>
              </w:rPr>
              <w:t>complex×0.6 + uncert×0.4</w:t>
            </w:r>
          </w:p>
        </w:tc>
      </w:tr>
      <w:tr w:rsidR="00642C15" w14:paraId="020DD7D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08F970F" w14:textId="77777777" w:rsidR="00642C15" w:rsidRDefault="008B6855">
            <w:r>
              <w:rPr>
                <w:sz w:val="20"/>
                <w:szCs w:val="20"/>
              </w:rPr>
              <w:t>Evaluation / Testing</w:t>
            </w:r>
          </w:p>
        </w:tc>
        <w:tc>
          <w:tcPr>
            <w:tcW w:w="328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FA3085E" w14:textId="77777777" w:rsidR="00642C15" w:rsidRDefault="008B6855">
            <w:r>
              <w:rPr>
                <w:rFonts w:ascii="Courier New" w:eastAsia="Courier New" w:hAnsi="Courier New" w:cs="Courier New"/>
                <w:color w:val="C7254E"/>
                <w:sz w:val="20"/>
                <w:szCs w:val="20"/>
              </w:rPr>
              <w:t>+complex×0.5 + uncert×0.5</w:t>
            </w:r>
          </w:p>
        </w:tc>
        <w:tc>
          <w:tcPr>
            <w:tcW w:w="328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C84E9E6" w14:textId="77777777" w:rsidR="00642C15" w:rsidRDefault="008B6855">
            <w:r>
              <w:rPr>
                <w:rFonts w:ascii="Courier New" w:eastAsia="Courier New" w:hAnsi="Courier New" w:cs="Courier New"/>
                <w:color w:val="C7254E"/>
                <w:sz w:val="20"/>
                <w:szCs w:val="20"/>
              </w:rPr>
              <w:t>complex×0.7 + uncert×0.3</w:t>
            </w:r>
          </w:p>
        </w:tc>
      </w:tr>
      <w:tr w:rsidR="00642C15" w14:paraId="561853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1D8720" w14:textId="77777777" w:rsidR="00642C15" w:rsidRDefault="008B6855">
            <w:r>
              <w:rPr>
                <w:sz w:val="20"/>
                <w:szCs w:val="20"/>
              </w:rPr>
              <w:t>Deployment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D5CFC9" w14:textId="4B1999AB" w:rsidR="00642C15" w:rsidRDefault="008B6855">
            <w:r>
              <w:rPr>
                <w:rFonts w:ascii="Courier New" w:eastAsia="Courier New" w:hAnsi="Courier New" w:cs="Courier New"/>
                <w:color w:val="C7254E"/>
                <w:sz w:val="20"/>
                <w:szCs w:val="20"/>
              </w:rPr>
              <w:t>+readinessDef×0.</w:t>
            </w:r>
            <w:r w:rsidR="0085063A">
              <w:rPr>
                <w:rFonts w:ascii="Courier New" w:eastAsia="Courier New" w:hAnsi="Courier New" w:cs="Courier New"/>
                <w:color w:val="C7254E"/>
                <w:sz w:val="20"/>
                <w:szCs w:val="20"/>
              </w:rPr>
              <w:t>5</w:t>
            </w:r>
            <w:r>
              <w:rPr>
                <w:rFonts w:ascii="Courier New" w:eastAsia="Courier New" w:hAnsi="Courier New" w:cs="Courier New"/>
                <w:color w:val="C7254E"/>
                <w:sz w:val="20"/>
                <w:szCs w:val="20"/>
              </w:rPr>
              <w:t xml:space="preserve"> + complex×0.</w:t>
            </w:r>
            <w:r w:rsidR="002C30AB">
              <w:rPr>
                <w:rFonts w:ascii="Courier New" w:eastAsia="Courier New" w:hAnsi="Courier New" w:cs="Courier New"/>
                <w:color w:val="C7254E"/>
                <w:sz w:val="20"/>
                <w:szCs w:val="20"/>
              </w:rPr>
              <w:t>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9137D9" w14:textId="77777777" w:rsidR="00642C15" w:rsidRDefault="008B6855">
            <w:r>
              <w:rPr>
                <w:rFonts w:ascii="Courier New" w:eastAsia="Courier New" w:hAnsi="Courier New" w:cs="Courier New"/>
                <w:color w:val="C7254E"/>
                <w:sz w:val="20"/>
                <w:szCs w:val="20"/>
              </w:rPr>
              <w:t>readinessDef×0.5 + complex×0.5</w:t>
            </w:r>
          </w:p>
        </w:tc>
      </w:tr>
      <w:tr w:rsidR="00642C15" w14:paraId="6368F0B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E57971C" w14:textId="77777777" w:rsidR="00642C15" w:rsidRDefault="008B6855">
            <w:r>
              <w:rPr>
                <w:sz w:val="20"/>
                <w:szCs w:val="20"/>
              </w:rPr>
              <w:t>Utilization / Monitoring</w:t>
            </w:r>
          </w:p>
        </w:tc>
        <w:tc>
          <w:tcPr>
            <w:tcW w:w="328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14D1758" w14:textId="3207BE3B" w:rsidR="00642C15" w:rsidRDefault="008B6855">
            <w:r>
              <w:rPr>
                <w:rFonts w:ascii="Courier New" w:eastAsia="Courier New" w:hAnsi="Courier New" w:cs="Courier New"/>
                <w:color w:val="C7254E"/>
                <w:sz w:val="20"/>
                <w:szCs w:val="20"/>
              </w:rPr>
              <w:t>+complex×0.</w:t>
            </w:r>
            <w:r w:rsidR="0085063A">
              <w:rPr>
                <w:rFonts w:ascii="Courier New" w:eastAsia="Courier New" w:hAnsi="Courier New" w:cs="Courier New"/>
                <w:color w:val="C7254E"/>
                <w:sz w:val="20"/>
                <w:szCs w:val="20"/>
              </w:rPr>
              <w:t>5</w:t>
            </w:r>
            <w:r>
              <w:rPr>
                <w:rFonts w:ascii="Courier New" w:eastAsia="Courier New" w:hAnsi="Courier New" w:cs="Courier New"/>
                <w:color w:val="C7254E"/>
                <w:sz w:val="20"/>
                <w:szCs w:val="20"/>
              </w:rPr>
              <w:t xml:space="preserve"> + uncert×0.5</w:t>
            </w:r>
          </w:p>
        </w:tc>
        <w:tc>
          <w:tcPr>
            <w:tcW w:w="328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5853C5A" w14:textId="77777777" w:rsidR="00642C15" w:rsidRDefault="008B6855">
            <w:r>
              <w:rPr>
                <w:rFonts w:ascii="Courier New" w:eastAsia="Courier New" w:hAnsi="Courier New" w:cs="Courier New"/>
                <w:color w:val="C7254E"/>
                <w:sz w:val="20"/>
                <w:szCs w:val="20"/>
              </w:rPr>
              <w:t>complex×0.6 + uncert×0.4</w:t>
            </w:r>
          </w:p>
        </w:tc>
      </w:tr>
    </w:tbl>
    <w:p w14:paraId="4BE734F1" w14:textId="77777777" w:rsidR="00642C15" w:rsidRDefault="00642C15">
      <w:pPr>
        <w:spacing w:before="160" w:after="80"/>
      </w:pPr>
    </w:p>
    <w:p w14:paraId="7FE6CC53" w14:textId="77777777" w:rsidR="00642C15" w:rsidRDefault="008B6855">
      <w:pPr>
        <w:spacing w:before="80" w:after="100"/>
      </w:pPr>
      <w:r>
        <w:t xml:space="preserve">Dabei gilt: </w:t>
      </w:r>
      <w:r>
        <w:rPr>
          <w:rFonts w:ascii="Courier New" w:eastAsia="Courier New" w:hAnsi="Courier New" w:cs="Courier New"/>
          <w:color w:val="C7254E"/>
          <w:sz w:val="20"/>
          <w:szCs w:val="20"/>
        </w:rPr>
        <w:t>readinessDef = 1 – readiness</w:t>
      </w:r>
      <w:r>
        <w:t>. Alle Faktoren werden nach Berechnung auf [0.5, 2.0] resp. [0.0, 1.0] geclampt.</w:t>
      </w:r>
    </w:p>
    <w:p w14:paraId="543996FE" w14:textId="77777777" w:rsidR="00642C15" w:rsidRDefault="008B6855">
      <w:pPr>
        <w:pStyle w:val="berschrift2"/>
      </w:pPr>
      <w:r>
        <w:t>7.2 normalizePhaseMetrics()</w:t>
      </w:r>
    </w:p>
    <w:p w14:paraId="40627E71" w14:textId="77777777" w:rsidR="00642C15" w:rsidRDefault="008B6855">
      <w:pPr>
        <w:spacing w:before="80" w:after="100"/>
      </w:pPr>
      <w:r>
        <w:t>Nach der Berechnung der Anpassungsfaktoren werden die Phasenanteile re-normalisiert, sodass sie sich exakt zu 1.0 summieren:</w:t>
      </w:r>
    </w:p>
    <w:p w14:paraId="1D998BAC" w14:textId="77777777" w:rsidR="00642C15" w:rsidRDefault="008B6855">
      <w:pPr>
        <w:spacing w:before="60" w:after="60"/>
        <w:ind w:left="720"/>
      </w:pPr>
      <w:r>
        <w:rPr>
          <w:rFonts w:ascii="Courier New" w:eastAsia="Courier New" w:hAnsi="Courier New" w:cs="Courier New"/>
          <w:color w:val="1A1A2E"/>
          <w:sz w:val="18"/>
          <w:szCs w:val="18"/>
        </w:rPr>
        <w:t>percentage_i  =  (adjustmentFactor_i × basePercentage_i)  /  Σ_j(adjustmentFactor_j × basePercentage_j)</w:t>
      </w:r>
    </w:p>
    <w:p w14:paraId="268FF810" w14:textId="77777777" w:rsidR="00642C15" w:rsidRDefault="008B6855">
      <w:pPr>
        <w:spacing w:before="80" w:after="100"/>
      </w:pPr>
      <w:r>
        <w:t xml:space="preserve">Dabei ist </w:t>
      </w:r>
      <w:r>
        <w:rPr>
          <w:rFonts w:ascii="Courier New" w:eastAsia="Courier New" w:hAnsi="Courier New" w:cs="Courier New"/>
          <w:color w:val="C7254E"/>
          <w:sz w:val="20"/>
          <w:szCs w:val="20"/>
        </w:rPr>
        <w:t>basePercentage_i</w:t>
      </w:r>
      <w:r>
        <w:t xml:space="preserve"> der in </w:t>
      </w:r>
      <w:r>
        <w:rPr>
          <w:rFonts w:ascii="Courier New" w:eastAsia="Courier New" w:hAnsi="Courier New" w:cs="Courier New"/>
          <w:color w:val="C7254E"/>
          <w:sz w:val="20"/>
          <w:szCs w:val="20"/>
        </w:rPr>
        <w:t>DSLC_PHASES_WITH_TASKS</w:t>
      </w:r>
      <w:r>
        <w:t xml:space="preserve"> hinterlegte Standardanteil der Phase am Gesamtprojekt.</w:t>
      </w:r>
    </w:p>
    <w:p w14:paraId="7C2C4896" w14:textId="77777777" w:rsidR="00642C15" w:rsidRDefault="008B6855">
      <w:pPr>
        <w:pStyle w:val="berschrift2"/>
      </w:pPr>
      <w:r>
        <w:t>7.3 distributeBuffer()</w:t>
      </w:r>
    </w:p>
    <w:p w14:paraId="49E9AD56" w14:textId="77777777" w:rsidR="00642C15" w:rsidRDefault="008B6855">
      <w:pPr>
        <w:spacing w:before="80" w:after="100"/>
      </w:pPr>
      <w:r>
        <w:t xml:space="preserve">Der globale Risikopuffer wird proportional zu den </w:t>
      </w:r>
      <w:r>
        <w:rPr>
          <w:rFonts w:ascii="Courier New" w:eastAsia="Courier New" w:hAnsi="Courier New" w:cs="Courier New"/>
          <w:color w:val="C7254E"/>
          <w:sz w:val="20"/>
          <w:szCs w:val="20"/>
        </w:rPr>
        <w:t>riskWeight</w:t>
      </w:r>
      <w:r>
        <w:t>-Werten auf die Phasen verteilt:</w:t>
      </w:r>
    </w:p>
    <w:p w14:paraId="24AB860C" w14:textId="77777777" w:rsidR="00642C15" w:rsidRDefault="008B6855">
      <w:pPr>
        <w:spacing w:before="60" w:after="60"/>
        <w:ind w:left="720"/>
      </w:pPr>
      <w:r>
        <w:rPr>
          <w:rFonts w:ascii="Courier New" w:eastAsia="Courier New" w:hAnsi="Courier New" w:cs="Courier New"/>
          <w:color w:val="1A1A2E"/>
          <w:sz w:val="18"/>
          <w:szCs w:val="18"/>
        </w:rPr>
        <w:t>bufferPhase_i  =  (riskWeight_i / Σ riskWeight_j)  ×  riskBufferTotal</w:t>
      </w:r>
    </w:p>
    <w:p w14:paraId="634250FA" w14:textId="77777777" w:rsidR="00642C15" w:rsidRDefault="008B6855">
      <w:pPr>
        <w:pStyle w:val="berschrift2"/>
      </w:pPr>
      <w:r>
        <w:t>7.4 buildPhasesWithPreciseDuration()</w:t>
      </w:r>
    </w:p>
    <w:p w14:paraId="02295FC4" w14:textId="77777777" w:rsidR="00642C15" w:rsidRDefault="008B6855">
      <w:pPr>
        <w:spacing w:before="80" w:after="100"/>
      </w:pPr>
      <w:r>
        <w:t>Iteriert über alle normalisierten Phasen und berechnet für jede:</w:t>
      </w:r>
    </w:p>
    <w:p w14:paraId="084B869F" w14:textId="77777777" w:rsidR="00642C15" w:rsidRDefault="008B6855">
      <w:pPr>
        <w:pStyle w:val="Listenabsatz"/>
        <w:numPr>
          <w:ilvl w:val="0"/>
          <w:numId w:val="2"/>
        </w:numPr>
        <w:spacing w:before="60" w:after="60"/>
      </w:pPr>
      <w:r>
        <w:rPr>
          <w:b/>
          <w:bCs/>
        </w:rPr>
        <w:t xml:space="preserve">Dauer: </w:t>
      </w:r>
      <w:r>
        <w:t>durationWeeks × percentage_i, gerundet auf eine Dezimalstelle. Die letzte Phase erhält die verbleibende Restdauer (</w:t>
      </w:r>
      <w:r>
        <w:rPr>
          <w:rFonts w:ascii="Courier New" w:eastAsia="Courier New" w:hAnsi="Courier New" w:cs="Courier New"/>
          <w:color w:val="C7254E"/>
          <w:sz w:val="20"/>
          <w:szCs w:val="20"/>
        </w:rPr>
        <w:t>remainingDuration</w:t>
      </w:r>
      <w:r>
        <w:t>), um Gleitkomma-Kumulation zu kompensieren.</w:t>
      </w:r>
    </w:p>
    <w:p w14:paraId="54783FE1" w14:textId="77777777" w:rsidR="00642C15" w:rsidRDefault="008B6855">
      <w:pPr>
        <w:pStyle w:val="Listenabsatz"/>
        <w:numPr>
          <w:ilvl w:val="0"/>
          <w:numId w:val="2"/>
        </w:numPr>
        <w:spacing w:before="60" w:after="60"/>
      </w:pPr>
      <w:r>
        <w:rPr>
          <w:b/>
          <w:bCs/>
        </w:rPr>
        <w:t xml:space="preserve">Aufgaben: </w:t>
      </w:r>
      <w:r>
        <w:t xml:space="preserve">Aufruf von </w:t>
      </w:r>
      <w:r>
        <w:rPr>
          <w:rFonts w:ascii="Courier New" w:eastAsia="Courier New" w:hAnsi="Courier New" w:cs="Courier New"/>
          <w:color w:val="C7254E"/>
          <w:sz w:val="20"/>
          <w:szCs w:val="20"/>
        </w:rPr>
        <w:t>calculatePhaseTasks()</w:t>
      </w:r>
      <w:r>
        <w:t xml:space="preserve"> mit phasenspeifischen Basis- und Pufferaufwandswerten.</w:t>
      </w:r>
    </w:p>
    <w:p w14:paraId="24377B77" w14:textId="77777777" w:rsidR="00642C15" w:rsidRDefault="008B6855">
      <w:pPr>
        <w:pStyle w:val="Listenabsatz"/>
        <w:numPr>
          <w:ilvl w:val="0"/>
          <w:numId w:val="2"/>
        </w:numPr>
        <w:spacing w:before="60" w:after="60"/>
      </w:pPr>
      <w:r>
        <w:rPr>
          <w:b/>
          <w:bCs/>
        </w:rPr>
        <w:t xml:space="preserve">baseDuration / bufferDuration: </w:t>
      </w:r>
      <w:r>
        <w:t>Aufspaltung der Phasendauer analog zum Verhältnis Basisaufwand / Gesamtaufwand.</w:t>
      </w:r>
    </w:p>
    <w:p w14:paraId="7F883B86" w14:textId="77777777" w:rsidR="00642C15" w:rsidRDefault="008B6855">
      <w:pPr>
        <w:pStyle w:val="berschrift2"/>
      </w:pPr>
      <w:r>
        <w:t>7.5 calculatePhaseTasks()</w:t>
      </w:r>
    </w:p>
    <w:p w14:paraId="286085D5" w14:textId="77777777" w:rsidR="00642C15" w:rsidRDefault="008B6855">
      <w:pPr>
        <w:spacing w:before="80" w:after="100"/>
      </w:pPr>
      <w:r>
        <w:rPr>
          <w:b/>
          <w:bCs/>
        </w:rPr>
        <w:t xml:space="preserve">Signatur: </w:t>
      </w:r>
      <w:r>
        <w:rPr>
          <w:rFonts w:ascii="Courier New" w:eastAsia="Courier New" w:hAnsi="Courier New" w:cs="Courier New"/>
          <w:color w:val="C7254E"/>
          <w:sz w:val="20"/>
          <w:szCs w:val="20"/>
        </w:rPr>
        <w:t>calculatePhaseTasks(phaseTasks, phaseBaseEffort, phaseBufferEffort, customWeights?): CalculatedTask[]</w:t>
      </w:r>
    </w:p>
    <w:p w14:paraId="19FB037D" w14:textId="77777777" w:rsidR="00642C15" w:rsidRDefault="008B6855">
      <w:pPr>
        <w:spacing w:before="80" w:after="100"/>
      </w:pPr>
      <w:r>
        <w:t xml:space="preserve">Die Aufgabengewichte werden zunächst durch </w:t>
      </w:r>
      <w:r>
        <w:rPr>
          <w:rFonts w:ascii="Courier New" w:eastAsia="Courier New" w:hAnsi="Courier New" w:cs="Courier New"/>
          <w:color w:val="C7254E"/>
          <w:sz w:val="20"/>
          <w:szCs w:val="20"/>
        </w:rPr>
        <w:t>normalizeTaskWeights()</w:t>
      </w:r>
      <w:r>
        <w:t xml:space="preserve"> normalisiert (identisches Verfahren wie </w:t>
      </w:r>
      <w:r>
        <w:rPr>
          <w:rFonts w:ascii="Courier New" w:eastAsia="Courier New" w:hAnsi="Courier New" w:cs="Courier New"/>
          <w:color w:val="C7254E"/>
          <w:sz w:val="20"/>
          <w:szCs w:val="20"/>
        </w:rPr>
        <w:t>applyWeights()</w:t>
      </w:r>
      <w:r>
        <w:t xml:space="preserve"> auf Eingabeebene). Danach:</w:t>
      </w:r>
    </w:p>
    <w:p w14:paraId="4DC19459" w14:textId="77777777" w:rsidR="00642C15" w:rsidRDefault="008B6855">
      <w:pPr>
        <w:spacing w:before="60" w:after="60"/>
        <w:ind w:left="720"/>
      </w:pPr>
      <w:r>
        <w:rPr>
          <w:rFonts w:ascii="Courier New" w:eastAsia="Courier New" w:hAnsi="Courier New" w:cs="Courier New"/>
          <w:color w:val="1A1A2E"/>
          <w:sz w:val="18"/>
          <w:szCs w:val="18"/>
        </w:rPr>
        <w:t>taskEffort_i  =  (phaseBaseEffort + phaseBufferEffort) × weight_i</w:t>
      </w:r>
    </w:p>
    <w:p w14:paraId="1664EE2E" w14:textId="77777777" w:rsidR="00642C15" w:rsidRDefault="008B6855">
      <w:pPr>
        <w:spacing w:before="80" w:after="100"/>
      </w:pPr>
      <w:r>
        <w:lastRenderedPageBreak/>
        <w:t>Jede Aufgabe erhält damit ihren proportionalen Anteil am Phasenaufwand, wobei Basis- und Pufferanteil separat ausgewiesen werden.</w:t>
      </w:r>
    </w:p>
    <w:p w14:paraId="39121801" w14:textId="77777777" w:rsidR="00642C15" w:rsidRDefault="00642C15">
      <w:pPr>
        <w:pBdr>
          <w:bottom w:val="single" w:sz="4" w:space="1" w:color="CCCCCC"/>
        </w:pBdr>
        <w:spacing w:before="160" w:after="160"/>
      </w:pPr>
    </w:p>
    <w:p w14:paraId="062FA82C" w14:textId="77777777" w:rsidR="00642C15" w:rsidRDefault="008B6855">
      <w:pPr>
        <w:pStyle w:val="berschrift1"/>
      </w:pPr>
      <w:r>
        <w:t>8. Hauptmethode: calculate()</w:t>
      </w:r>
    </w:p>
    <w:p w14:paraId="6D53503C" w14:textId="77777777" w:rsidR="00642C15" w:rsidRDefault="008B6855">
      <w:pPr>
        <w:spacing w:before="80" w:after="100"/>
      </w:pPr>
      <w:r>
        <w:rPr>
          <w:b/>
          <w:bCs/>
        </w:rPr>
        <w:t xml:space="preserve">Signatur: </w:t>
      </w:r>
      <w:r>
        <w:rPr>
          <w:rFonts w:ascii="Courier New" w:eastAsia="Courier New" w:hAnsi="Courier New" w:cs="Courier New"/>
          <w:color w:val="C7254E"/>
          <w:sz w:val="20"/>
          <w:szCs w:val="20"/>
        </w:rPr>
        <w:t>calculate(request: CalculationRequest): ProjectMetrics</w:t>
      </w:r>
    </w:p>
    <w:p w14:paraId="303A0D1A" w14:textId="77777777" w:rsidR="00642C15" w:rsidRDefault="008B6855">
      <w:pPr>
        <w:spacing w:before="80" w:after="100"/>
      </w:pPr>
      <w:r>
        <w:t xml:space="preserve">Die öffentliche Einstiegsmethode orchestriert die vollständige Berechnungspipeline. Sie ruft zunächst </w:t>
      </w:r>
      <w:r>
        <w:rPr>
          <w:rFonts w:ascii="Courier New" w:eastAsia="Courier New" w:hAnsi="Courier New" w:cs="Courier New"/>
          <w:color w:val="C7254E"/>
          <w:sz w:val="20"/>
          <w:szCs w:val="20"/>
        </w:rPr>
        <w:t>validateRequest()</w:t>
      </w:r>
      <w:r>
        <w:t xml:space="preserve"> auf, um Eingabefehler frühzeitig zu erkennen, und wirft bei Validierungsfehlern eine strukturierte Exception.</w:t>
      </w:r>
    </w:p>
    <w:p w14:paraId="3E15694D" w14:textId="77777777" w:rsidR="00642C15" w:rsidRDefault="008B6855">
      <w:pPr>
        <w:spacing w:before="120" w:after="80"/>
      </w:pPr>
      <w:r>
        <w:rPr>
          <w:b/>
          <w:bCs/>
        </w:rPr>
        <w:t>Ablauf im Detail:</w:t>
      </w:r>
    </w:p>
    <w:p w14:paraId="5675740E"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normalizeInputs()</w:t>
      </w:r>
      <w:r>
        <w:t xml:space="preserve"> → Normalisierung der Roheingaben</w:t>
      </w:r>
    </w:p>
    <w:p w14:paraId="72F2290E"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applyWeights()</w:t>
      </w:r>
      <w:r>
        <w:t xml:space="preserve"> → Gewichtungsnormalisierung</w:t>
      </w:r>
    </w:p>
    <w:p w14:paraId="4F1DF479"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calculateCategoryScores()</w:t>
      </w:r>
      <w:r>
        <w:t xml:space="preserve"> → Aggregation zu drei Kategorie-Scores</w:t>
      </w:r>
    </w:p>
    <w:p w14:paraId="4B389F7F"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estimateEffort(..., false)</w:t>
      </w:r>
      <w:r>
        <w:t xml:space="preserve"> → Basisaufwand ohne Puffer</w:t>
      </w:r>
    </w:p>
    <w:p w14:paraId="564BA74C" w14:textId="77777777" w:rsidR="00642C15" w:rsidRDefault="008B6855">
      <w:pPr>
        <w:pStyle w:val="Listenabsatz"/>
        <w:numPr>
          <w:ilvl w:val="0"/>
          <w:numId w:val="2"/>
        </w:numPr>
        <w:spacing w:before="60" w:after="60"/>
      </w:pPr>
      <w:r>
        <w:t xml:space="preserve">Pufferkalkulation: </w:t>
      </w:r>
      <w:r>
        <w:rPr>
          <w:rFonts w:ascii="Courier New" w:eastAsia="Courier New" w:hAnsi="Courier New" w:cs="Courier New"/>
          <w:color w:val="C7254E"/>
          <w:sz w:val="20"/>
          <w:szCs w:val="20"/>
        </w:rPr>
        <w:t>riskLevel × 0.15 × baseEffort</w:t>
      </w:r>
      <w:r>
        <w:t xml:space="preserve"> → separater </w:t>
      </w:r>
      <w:r>
        <w:rPr>
          <w:rFonts w:ascii="Courier New" w:eastAsia="Courier New" w:hAnsi="Courier New" w:cs="Courier New"/>
          <w:color w:val="C7254E"/>
          <w:sz w:val="20"/>
          <w:szCs w:val="20"/>
        </w:rPr>
        <w:t>riskBufferTotal</w:t>
      </w:r>
    </w:p>
    <w:p w14:paraId="2F5DF87C"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estimateDuration()</w:t>
      </w:r>
      <w:r>
        <w:t xml:space="preserve"> → Kalendarische Laufzeit</w:t>
      </w:r>
    </w:p>
    <w:p w14:paraId="431279C6"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classifyProjectSize()</w:t>
      </w:r>
      <w:r>
        <w:t xml:space="preserve"> → Threshold-basierte Größenklassifikation</w:t>
      </w:r>
    </w:p>
    <w:p w14:paraId="36D67AC5"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calculateBacklog()</w:t>
      </w:r>
      <w:r>
        <w:t xml:space="preserve"> → Story Points und Sprint-Anzahl</w:t>
      </w:r>
    </w:p>
    <w:p w14:paraId="5D30A93D"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generatePhases()</w:t>
      </w:r>
      <w:r>
        <w:t xml:space="preserve"> → Vollständiger Phasenplan mit Aufgaben und Pufferverteilung</w:t>
      </w:r>
    </w:p>
    <w:p w14:paraId="2ED9628D" w14:textId="77777777" w:rsidR="00642C15" w:rsidRDefault="00642C1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C15" w14:paraId="1AFA4963" w14:textId="77777777">
        <w:tc>
          <w:tcPr>
            <w:tcW w:w="0" w:type="auto"/>
            <w:tcBorders>
              <w:top w:val="single" w:sz="4" w:space="0" w:color="2E5F8A"/>
              <w:left w:val="single" w:sz="12" w:space="0" w:color="2E5F8A"/>
              <w:bottom w:val="single" w:sz="1" w:space="0" w:color="2E5F8A"/>
              <w:right w:val="single" w:sz="1" w:space="0" w:color="2E5F8A"/>
            </w:tcBorders>
            <w:shd w:val="clear" w:color="auto" w:fill="EEF3FB"/>
            <w:tcMar>
              <w:top w:w="120" w:type="dxa"/>
              <w:left w:w="200" w:type="dxa"/>
              <w:bottom w:w="120" w:type="dxa"/>
              <w:right w:w="140" w:type="dxa"/>
            </w:tcMar>
          </w:tcPr>
          <w:p w14:paraId="64A68972" w14:textId="77777777" w:rsidR="00642C15" w:rsidRDefault="008B6855">
            <w:r>
              <w:rPr>
                <w:b/>
                <w:bCs/>
                <w:color w:val="1F3864"/>
                <w:sz w:val="20"/>
                <w:szCs w:val="20"/>
              </w:rPr>
              <w:t>Wichtig: Puffer-Separation</w:t>
            </w:r>
          </w:p>
          <w:p w14:paraId="63F3CC87" w14:textId="77777777" w:rsidR="00642C15" w:rsidRDefault="008B6855">
            <w:r>
              <w:rPr>
                <w:sz w:val="20"/>
                <w:szCs w:val="20"/>
              </w:rPr>
              <w:t>Der Risikopuffer wird nicht einfach auf den Gesamtaufwand addiert, sondern als eigenständige Größe (riskBufferTotal) durch die gesamte Phasengenerierung mitgeführt. Das ermöglicht eine differenzierte Darstellung von Basisplan und Risikoanteil auf Phasen- und Aufgabenebene.</w:t>
            </w:r>
          </w:p>
        </w:tc>
      </w:tr>
    </w:tbl>
    <w:p w14:paraId="0EDE157D" w14:textId="77777777" w:rsidR="00642C15" w:rsidRDefault="00642C15">
      <w:pPr>
        <w:pBdr>
          <w:bottom w:val="single" w:sz="4" w:space="1" w:color="CCCCCC"/>
        </w:pBdr>
        <w:spacing w:before="160" w:after="160"/>
      </w:pPr>
    </w:p>
    <w:p w14:paraId="78EB0A90" w14:textId="77777777" w:rsidR="00642C15" w:rsidRDefault="008B6855">
      <w:pPr>
        <w:pStyle w:val="berschrift1"/>
      </w:pPr>
      <w:r>
        <w:t>9. Eingabevalidierung</w:t>
      </w:r>
    </w:p>
    <w:p w14:paraId="6C013251" w14:textId="77777777" w:rsidR="00642C15" w:rsidRDefault="008B6855">
      <w:pPr>
        <w:spacing w:before="80" w:after="100"/>
      </w:pPr>
      <w:r>
        <w:rPr>
          <w:b/>
          <w:bCs/>
        </w:rPr>
        <w:t xml:space="preserve">Signatur: </w:t>
      </w:r>
      <w:r>
        <w:rPr>
          <w:rFonts w:ascii="Courier New" w:eastAsia="Courier New" w:hAnsi="Courier New" w:cs="Courier New"/>
          <w:color w:val="C7254E"/>
          <w:sz w:val="20"/>
          <w:szCs w:val="20"/>
        </w:rPr>
        <w:t>validateRequest(request): { isValid: boolean; errors: string[] }</w:t>
      </w:r>
    </w:p>
    <w:p w14:paraId="04F43EF2" w14:textId="77777777" w:rsidR="00642C15" w:rsidRDefault="008B6855">
      <w:pPr>
        <w:spacing w:before="80" w:after="100"/>
      </w:pPr>
      <w:r>
        <w:t>Die Validierung prüft:</w:t>
      </w:r>
    </w:p>
    <w:p w14:paraId="291F8496" w14:textId="2BD88FEF" w:rsidR="00642C15" w:rsidRDefault="008B6855">
      <w:pPr>
        <w:pStyle w:val="Listenabsatz"/>
        <w:numPr>
          <w:ilvl w:val="0"/>
          <w:numId w:val="2"/>
        </w:numPr>
        <w:spacing w:before="60" w:after="60"/>
      </w:pPr>
      <w:r>
        <w:t>Vorhadensein von Eingaben (</w:t>
      </w:r>
      <w:r>
        <w:rPr>
          <w:rFonts w:ascii="Courier New" w:eastAsia="Courier New" w:hAnsi="Courier New" w:cs="Courier New"/>
          <w:color w:val="C7254E"/>
          <w:sz w:val="20"/>
          <w:szCs w:val="20"/>
        </w:rPr>
        <w:t>inputs.length &gt; 0</w:t>
      </w:r>
      <w:r>
        <w:t>)</w:t>
      </w:r>
    </w:p>
    <w:p w14:paraId="392E2A96" w14:textId="77777777" w:rsidR="00642C15" w:rsidRDefault="008B6855">
      <w:pPr>
        <w:pStyle w:val="Listenabsatz"/>
        <w:numPr>
          <w:ilvl w:val="0"/>
          <w:numId w:val="2"/>
        </w:numPr>
        <w:spacing w:before="60" w:after="60"/>
      </w:pPr>
      <w:r>
        <w:t>Angabe eines Projekttyps</w:t>
      </w:r>
    </w:p>
    <w:p w14:paraId="3B2489E5"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teamSize &gt;= 1</w:t>
      </w:r>
    </w:p>
    <w:p w14:paraId="03CAE206"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productivityFactor ∈ (0, 1]</w:t>
      </w:r>
      <w:r>
        <w:t xml:space="preserve"> (falls angegeben)</w:t>
      </w:r>
    </w:p>
    <w:p w14:paraId="194DACC4" w14:textId="77777777" w:rsidR="00642C15" w:rsidRDefault="008B6855">
      <w:pPr>
        <w:pStyle w:val="Listenabsatz"/>
        <w:numPr>
          <w:ilvl w:val="0"/>
          <w:numId w:val="2"/>
        </w:numPr>
        <w:spacing w:before="60" w:after="60"/>
      </w:pPr>
      <w:r>
        <w:rPr>
          <w:rFonts w:ascii="Courier New" w:eastAsia="Courier New" w:hAnsi="Courier New" w:cs="Courier New"/>
          <w:color w:val="C7254E"/>
          <w:sz w:val="20"/>
          <w:szCs w:val="20"/>
        </w:rPr>
        <w:t>velocityPerSprint &gt; 0</w:t>
      </w:r>
      <w:r>
        <w:t xml:space="preserve"> (falls angegeben)</w:t>
      </w:r>
    </w:p>
    <w:p w14:paraId="53E9919A" w14:textId="77777777" w:rsidR="00642C15" w:rsidRDefault="008B6855">
      <w:pPr>
        <w:pStyle w:val="Listenabsatz"/>
        <w:numPr>
          <w:ilvl w:val="0"/>
          <w:numId w:val="2"/>
        </w:numPr>
        <w:spacing w:before="60" w:after="60"/>
      </w:pPr>
      <w:r>
        <w:t xml:space="preserve">Konsistenzprüfung der Aufgabengewichte per </w:t>
      </w:r>
      <w:r>
        <w:rPr>
          <w:rFonts w:ascii="Courier New" w:eastAsia="Courier New" w:hAnsi="Courier New" w:cs="Courier New"/>
          <w:color w:val="C7254E"/>
          <w:sz w:val="20"/>
          <w:szCs w:val="20"/>
        </w:rPr>
        <w:t>checkTaskWeightNormalization()</w:t>
      </w:r>
      <w:r>
        <w:t xml:space="preserve"> (Warning, kein Fehler – automatische Normalisierung greift)</w:t>
      </w:r>
    </w:p>
    <w:p w14:paraId="428395D7" w14:textId="77777777" w:rsidR="00642C15" w:rsidRDefault="008B6855">
      <w:pPr>
        <w:spacing w:before="80" w:after="100"/>
      </w:pPr>
      <w:r>
        <w:t xml:space="preserve">Die Methode ist nicht-werfend und gibt eine strukturierte Fehlersammlung zurück. Die Entscheidung, eine Exception zu werfen, liegt beim Aufrufer (hier: </w:t>
      </w:r>
      <w:r>
        <w:rPr>
          <w:rFonts w:ascii="Courier New" w:eastAsia="Courier New" w:hAnsi="Courier New" w:cs="Courier New"/>
          <w:color w:val="C7254E"/>
          <w:sz w:val="20"/>
          <w:szCs w:val="20"/>
        </w:rPr>
        <w:t>calculate()</w:t>
      </w:r>
      <w:r>
        <w:t>).</w:t>
      </w:r>
    </w:p>
    <w:p w14:paraId="4D182B3A" w14:textId="77777777" w:rsidR="00642C15" w:rsidRDefault="00642C15">
      <w:pPr>
        <w:pBdr>
          <w:bottom w:val="single" w:sz="4" w:space="1" w:color="CCCCCC"/>
        </w:pBdr>
        <w:spacing w:before="160" w:after="160"/>
      </w:pPr>
    </w:p>
    <w:p w14:paraId="333F2CE8" w14:textId="77777777" w:rsidR="00642C15" w:rsidRDefault="008B6855">
      <w:pPr>
        <w:pStyle w:val="berschrift1"/>
      </w:pPr>
      <w:r>
        <w:lastRenderedPageBreak/>
        <w:t>10. Externe Abhängigkeiten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6112"/>
      </w:tblGrid>
      <w:tr w:rsidR="00642C15" w14:paraId="2A1E9D43" w14:textId="77777777">
        <w:tc>
          <w:tcPr>
            <w:tcW w:w="320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19AA9C25" w14:textId="77777777" w:rsidR="00642C15" w:rsidRDefault="008B6855">
            <w:r>
              <w:rPr>
                <w:b/>
                <w:bCs/>
                <w:color w:val="FFFFFF"/>
                <w:sz w:val="20"/>
                <w:szCs w:val="20"/>
              </w:rPr>
              <w:t>Import</w:t>
            </w:r>
          </w:p>
        </w:tc>
        <w:tc>
          <w:tcPr>
            <w:tcW w:w="6160" w:type="dxa"/>
            <w:tcBorders>
              <w:top w:val="single" w:sz="1" w:space="0" w:color="2E5F8A"/>
              <w:left w:val="single" w:sz="1" w:space="0" w:color="2E5F8A"/>
              <w:bottom w:val="single" w:sz="1" w:space="0" w:color="2E5F8A"/>
              <w:right w:val="single" w:sz="1" w:space="0" w:color="2E5F8A"/>
            </w:tcBorders>
            <w:shd w:val="clear" w:color="auto" w:fill="1F3864"/>
            <w:tcMar>
              <w:top w:w="100" w:type="dxa"/>
              <w:left w:w="140" w:type="dxa"/>
              <w:bottom w:w="100" w:type="dxa"/>
              <w:right w:w="140" w:type="dxa"/>
            </w:tcMar>
          </w:tcPr>
          <w:p w14:paraId="41350571" w14:textId="77777777" w:rsidR="00642C15" w:rsidRDefault="008B6855">
            <w:r>
              <w:rPr>
                <w:b/>
                <w:bCs/>
                <w:color w:val="FFFFFF"/>
                <w:sz w:val="20"/>
                <w:szCs w:val="20"/>
              </w:rPr>
              <w:t>Verwendung</w:t>
            </w:r>
          </w:p>
        </w:tc>
      </w:tr>
      <w:tr w:rsidR="00642C15" w14:paraId="2C5676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83EBAD" w14:textId="77777777" w:rsidR="00642C15" w:rsidRDefault="008B6855">
            <w:r>
              <w:rPr>
                <w:sz w:val="20"/>
                <w:szCs w:val="20"/>
              </w:rPr>
              <w:t>BASE_EFFORT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F551F9" w14:textId="77777777" w:rsidR="00642C15" w:rsidRDefault="008B6855">
            <w:r>
              <w:rPr>
                <w:sz w:val="20"/>
                <w:szCs w:val="20"/>
              </w:rPr>
              <w:t>Record&lt;ProjectType, number&gt; – projekttyp-spezifische Basisaufwandswerte in Personenwochen</w:t>
            </w:r>
          </w:p>
        </w:tc>
      </w:tr>
      <w:tr w:rsidR="00642C15" w14:paraId="728BB6DD"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C064930" w14:textId="77777777" w:rsidR="00642C15" w:rsidRDefault="008B6855">
            <w:r>
              <w:rPr>
                <w:sz w:val="20"/>
                <w:szCs w:val="20"/>
              </w:rPr>
              <w:t>PROJECT_SIZE_THRESHOLDS</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83273A7" w14:textId="77777777" w:rsidR="00642C15" w:rsidRDefault="008B6855">
            <w:r>
              <w:rPr>
                <w:sz w:val="20"/>
                <w:szCs w:val="20"/>
              </w:rPr>
              <w:t>Array aus { max, size }-Paaren für Threshold-basierte Größenklassifikation</w:t>
            </w:r>
          </w:p>
        </w:tc>
      </w:tr>
      <w:tr w:rsidR="00642C15" w14:paraId="7A0A2A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F33D62" w14:textId="77777777" w:rsidR="00642C15" w:rsidRDefault="008B6855">
            <w:r>
              <w:rPr>
                <w:sz w:val="20"/>
                <w:szCs w:val="20"/>
              </w:rPr>
              <w:t>DSLC_PHASES_WITH_TASKS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86D79B" w14:textId="77777777" w:rsidR="00642C15" w:rsidRDefault="008B6855">
            <w:r>
              <w:rPr>
                <w:sz w:val="20"/>
                <w:szCs w:val="20"/>
              </w:rPr>
              <w:t>Statische Phasendefinitionen mit Name, basePercentage und Task-Liste inkl. defaultWeight</w:t>
            </w:r>
          </w:p>
        </w:tc>
      </w:tr>
    </w:tbl>
    <w:p w14:paraId="73131E3C" w14:textId="77777777" w:rsidR="00642C15" w:rsidRDefault="00642C1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C15" w14:paraId="323A503C" w14:textId="77777777">
        <w:tc>
          <w:tcPr>
            <w:tcW w:w="0" w:type="auto"/>
            <w:tcBorders>
              <w:top w:val="single" w:sz="4" w:space="0" w:color="2E5F8A"/>
              <w:left w:val="single" w:sz="12" w:space="0" w:color="2E5F8A"/>
              <w:bottom w:val="single" w:sz="1" w:space="0" w:color="2E5F8A"/>
              <w:right w:val="single" w:sz="1" w:space="0" w:color="2E5F8A"/>
            </w:tcBorders>
            <w:shd w:val="clear" w:color="auto" w:fill="EEF3FB"/>
            <w:tcMar>
              <w:top w:w="120" w:type="dxa"/>
              <w:left w:w="200" w:type="dxa"/>
              <w:bottom w:w="120" w:type="dxa"/>
              <w:right w:w="140" w:type="dxa"/>
            </w:tcMar>
          </w:tcPr>
          <w:p w14:paraId="3F7BCE6C" w14:textId="77777777" w:rsidR="00642C15" w:rsidRDefault="008B6855">
            <w:r>
              <w:rPr>
                <w:b/>
                <w:bCs/>
                <w:color w:val="1F3864"/>
                <w:sz w:val="20"/>
                <w:szCs w:val="20"/>
              </w:rPr>
              <w:t>Hinweis zur Konfiguration</w:t>
            </w:r>
          </w:p>
          <w:p w14:paraId="0BAACAFF" w14:textId="77777777" w:rsidR="00642C15" w:rsidRDefault="008B6855">
            <w:r>
              <w:rPr>
                <w:sz w:val="20"/>
                <w:szCs w:val="20"/>
              </w:rPr>
              <w:t>BASE_EFFORT, PROJECT_SIZE_THRESHOLDS und DSLC_PHASES_WITH_TASKS sind die primären Konfigurationspunkte, um das Schätzmodell zu kalibrieren. Änderungen an diesen Konstanten wirken sich unmittelbar auf alle Berechnungen aus, ohne den Algorithmus selbst zu verändern.</w:t>
            </w:r>
          </w:p>
        </w:tc>
      </w:tr>
    </w:tbl>
    <w:p w14:paraId="0224DF19" w14:textId="77777777" w:rsidR="00642C15" w:rsidRDefault="00642C15">
      <w:pPr>
        <w:spacing w:before="200"/>
      </w:pPr>
    </w:p>
    <w:p w14:paraId="5B8F78A1" w14:textId="77777777" w:rsidR="00642C15" w:rsidRDefault="00642C15">
      <w:pPr>
        <w:pBdr>
          <w:bottom w:val="single" w:sz="4" w:space="1" w:color="CCCCCC"/>
        </w:pBdr>
        <w:spacing w:before="160" w:after="160"/>
      </w:pPr>
    </w:p>
    <w:p w14:paraId="2A139B53" w14:textId="77777777" w:rsidR="00642C15" w:rsidRDefault="008B6855">
      <w:pPr>
        <w:pStyle w:val="berschrift1"/>
      </w:pPr>
      <w:r>
        <w:t>11. Anmerkungen der Entwickler</w:t>
      </w:r>
    </w:p>
    <w:p w14:paraId="4D3A79AC" w14:textId="7163A53B" w:rsidR="00642C15" w:rsidRDefault="008B6855">
      <w:pPr>
        <w:spacing w:before="80" w:after="100"/>
      </w:pPr>
      <w:r>
        <w:t xml:space="preserve">Die vorliegende, in dieser Dokumentation beschriebene Berechnungslogik ist das Ergebnis eines kontinuierlichen und iterativen Entwicklungsprozesses. Im Verlauf der vergangenen Wochen und Monate fanden </w:t>
      </w:r>
      <w:r w:rsidR="007C59F5">
        <w:t xml:space="preserve">unsererseits </w:t>
      </w:r>
      <w:r>
        <w:t>intensive fachliche Diskussionen statt, in deren Rahmen grundlegende Fragen zur Konzeption und Implementierung der Kernberechnungen – insbesondere hinsichtlich der Gewichtungsmodelle, Skalierungsfaktoren und der Risikoverteilung – eingehend erörtert und mehrfach überarbeitet wurden.</w:t>
      </w:r>
    </w:p>
    <w:p w14:paraId="575A9001" w14:textId="77777777" w:rsidR="00642C15" w:rsidRDefault="008B6855">
      <w:pPr>
        <w:spacing w:before="80" w:after="100"/>
      </w:pPr>
      <w:r>
        <w:t xml:space="preserve">Im strengen Sinne handelt es sich bei der aktuellen Implementierung um </w:t>
      </w:r>
      <w:r>
        <w:rPr>
          <w:b/>
          <w:bCs/>
        </w:rPr>
        <w:t>Version 3.0</w:t>
      </w:r>
      <w:r>
        <w:t xml:space="preserve"> des Berechnungsmodells. Auch diese Version erhebt keinen Anspruch auf Abgeschlossenheit: Eine Erweiterung um zusätzliche Einflussfaktoren und Risikodimensionen bleibt prinzipiell möglich und ist im Rahmen zukünftiger Entwicklungszyklen ausdrücklich vorgesehen. Im Kontext des vorliegenden Projekts stellt sie jedoch den fortgeschrittensten erreichten Stand dar, da in ihr die größte Anzahl an Randbedingungen und Einflussfaktoren Berücksichtigung findet.</w:t>
      </w:r>
    </w:p>
    <w:p w14:paraId="48534C02" w14:textId="77777777" w:rsidR="00642C15" w:rsidRDefault="00642C1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C15" w14:paraId="28A0E143" w14:textId="77777777">
        <w:tc>
          <w:tcPr>
            <w:tcW w:w="0" w:type="auto"/>
            <w:tcBorders>
              <w:top w:val="single" w:sz="4" w:space="0" w:color="2E5F8A"/>
              <w:left w:val="single" w:sz="12" w:space="0" w:color="2E5F8A"/>
              <w:bottom w:val="single" w:sz="1" w:space="0" w:color="2E5F8A"/>
              <w:right w:val="single" w:sz="1" w:space="0" w:color="2E5F8A"/>
            </w:tcBorders>
            <w:shd w:val="clear" w:color="auto" w:fill="EEF3FB"/>
            <w:tcMar>
              <w:top w:w="120" w:type="dxa"/>
              <w:left w:w="200" w:type="dxa"/>
              <w:bottom w:w="120" w:type="dxa"/>
              <w:right w:w="140" w:type="dxa"/>
            </w:tcMar>
          </w:tcPr>
          <w:p w14:paraId="3E97B3CE" w14:textId="77777777" w:rsidR="00642C15" w:rsidRDefault="008B6855">
            <w:r>
              <w:rPr>
                <w:b/>
                <w:bCs/>
                <w:color w:val="1F3864"/>
                <w:sz w:val="20"/>
                <w:szCs w:val="20"/>
              </w:rPr>
              <w:t>Hinweis zur Übertragbarkeit einzelner Parameter</w:t>
            </w:r>
          </w:p>
          <w:p w14:paraId="5CD9BFD3" w14:textId="58F0E045" w:rsidR="00642C15" w:rsidRDefault="008B6855">
            <w:r>
              <w:rPr>
                <w:sz w:val="20"/>
                <w:szCs w:val="20"/>
              </w:rPr>
              <w:t>Bestimmte im Modell verwendete Parameterwerte – insbesondere der Produktivitätsfaktor von 0.6 – basieren auf empirischen Erfahrungswerten aus der industriellen Softwareentwicklungspraxis. Es wird ausdrücklich darauf hingewiesen, dass diese Werte nur eingeschränkt auf universitäre oder forschungsnahe Projektkontexte übertragbar s</w:t>
            </w:r>
            <w:r w:rsidR="007C59F5">
              <w:rPr>
                <w:sz w:val="20"/>
                <w:szCs w:val="20"/>
              </w:rPr>
              <w:t>ein könnten</w:t>
            </w:r>
            <w:r>
              <w:rPr>
                <w:sz w:val="20"/>
                <w:szCs w:val="20"/>
              </w:rPr>
              <w:t>, da sich Arbeitsstruktur, Verfügbarkeit der Beteiligten sowie die Art der anfallenden Tätigkeiten in diesen Umgebungen mitunter erheblich von industriellen Rahmenbedingungen unterscheiden. Eine kontextspezifische Anpassung der betreffenden Parameter wird für solche Anwendungsfälle empfohlen.</w:t>
            </w:r>
          </w:p>
        </w:tc>
      </w:tr>
    </w:tbl>
    <w:p w14:paraId="3EEE987D" w14:textId="77777777" w:rsidR="00642C15" w:rsidRDefault="00642C15">
      <w:pPr>
        <w:spacing w:before="200"/>
      </w:pPr>
    </w:p>
    <w:sectPr w:rsidR="00642C1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C4EA" w14:textId="77777777" w:rsidR="00F87D1F" w:rsidRDefault="00F87D1F">
      <w:r>
        <w:separator/>
      </w:r>
    </w:p>
  </w:endnote>
  <w:endnote w:type="continuationSeparator" w:id="0">
    <w:p w14:paraId="5B290CFC" w14:textId="77777777" w:rsidR="00F87D1F" w:rsidRDefault="00F87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147C2" w14:textId="3800A9C8" w:rsidR="00642C15" w:rsidRDefault="008B6855">
    <w:pPr>
      <w:pBdr>
        <w:top w:val="single" w:sz="4" w:space="1" w:color="2E5F8A"/>
      </w:pBdr>
      <w:spacing w:before="120"/>
    </w:pPr>
    <w:r>
      <w:rPr>
        <w:color w:val="888888"/>
        <w:sz w:val="18"/>
        <w:szCs w:val="18"/>
      </w:rPr>
      <w:t xml:space="preserve">Version 1.0 </w:t>
    </w:r>
    <w:r w:rsidR="00DA6668">
      <w:rPr>
        <w:color w:val="888888"/>
        <w:sz w:val="18"/>
        <w:szCs w:val="18"/>
      </w:rPr>
      <w:t>|</w:t>
    </w:r>
    <w:r w:rsidR="00173BDA">
      <w:rPr>
        <w:color w:val="888888"/>
        <w:sz w:val="18"/>
        <w:szCs w:val="18"/>
      </w:rPr>
      <w:t>| Seite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DA666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F1CB8" w14:textId="77777777" w:rsidR="00F87D1F" w:rsidRDefault="00F87D1F">
      <w:r>
        <w:separator/>
      </w:r>
    </w:p>
  </w:footnote>
  <w:footnote w:type="continuationSeparator" w:id="0">
    <w:p w14:paraId="19DDB548" w14:textId="77777777" w:rsidR="00F87D1F" w:rsidRDefault="00F87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073C" w14:textId="77777777" w:rsidR="00642C15" w:rsidRDefault="008B6855">
    <w:pPr>
      <w:pBdr>
        <w:bottom w:val="single" w:sz="4" w:space="1" w:color="2E5F8A"/>
      </w:pBdr>
      <w:spacing w:after="120"/>
    </w:pPr>
    <w:r>
      <w:rPr>
        <w:b/>
        <w:bCs/>
        <w:color w:val="1F3864"/>
        <w:sz w:val="20"/>
        <w:szCs w:val="20"/>
      </w:rPr>
      <w:t>ProjectCalculationService</w:t>
    </w:r>
    <w:r>
      <w:rPr>
        <w:color w:val="888888"/>
        <w:sz w:val="20"/>
        <w:szCs w:val="20"/>
      </w:rPr>
      <w:t xml:space="preserve">  |  Technische Dokumentation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6F67"/>
    <w:multiLevelType w:val="hybridMultilevel"/>
    <w:tmpl w:val="1B920008"/>
    <w:lvl w:ilvl="0" w:tplc="77F0A7D8">
      <w:start w:val="1"/>
      <w:numFmt w:val="bullet"/>
      <w:lvlText w:val="•"/>
      <w:lvlJc w:val="left"/>
      <w:pPr>
        <w:ind w:left="720" w:hanging="360"/>
      </w:pPr>
    </w:lvl>
    <w:lvl w:ilvl="1" w:tplc="86FE5B0C">
      <w:start w:val="1"/>
      <w:numFmt w:val="bullet"/>
      <w:lvlText w:val="◦"/>
      <w:lvlJc w:val="left"/>
      <w:pPr>
        <w:ind w:left="1080" w:hanging="360"/>
      </w:pPr>
    </w:lvl>
    <w:lvl w:ilvl="2" w:tplc="5E7A0264">
      <w:numFmt w:val="decimal"/>
      <w:lvlText w:val=""/>
      <w:lvlJc w:val="left"/>
    </w:lvl>
    <w:lvl w:ilvl="3" w:tplc="F6F23658">
      <w:numFmt w:val="decimal"/>
      <w:lvlText w:val=""/>
      <w:lvlJc w:val="left"/>
    </w:lvl>
    <w:lvl w:ilvl="4" w:tplc="2E5AAEF0">
      <w:numFmt w:val="decimal"/>
      <w:lvlText w:val=""/>
      <w:lvlJc w:val="left"/>
    </w:lvl>
    <w:lvl w:ilvl="5" w:tplc="98DCA324">
      <w:numFmt w:val="decimal"/>
      <w:lvlText w:val=""/>
      <w:lvlJc w:val="left"/>
    </w:lvl>
    <w:lvl w:ilvl="6" w:tplc="4C0247F0">
      <w:numFmt w:val="decimal"/>
      <w:lvlText w:val=""/>
      <w:lvlJc w:val="left"/>
    </w:lvl>
    <w:lvl w:ilvl="7" w:tplc="33222062">
      <w:numFmt w:val="decimal"/>
      <w:lvlText w:val=""/>
      <w:lvlJc w:val="left"/>
    </w:lvl>
    <w:lvl w:ilvl="8" w:tplc="BDBEA178">
      <w:numFmt w:val="decimal"/>
      <w:lvlText w:val=""/>
      <w:lvlJc w:val="left"/>
    </w:lvl>
  </w:abstractNum>
  <w:abstractNum w:abstractNumId="1" w15:restartNumberingAfterBreak="0">
    <w:nsid w:val="5DAF4733"/>
    <w:multiLevelType w:val="hybridMultilevel"/>
    <w:tmpl w:val="71AC741A"/>
    <w:lvl w:ilvl="0" w:tplc="77902C5A">
      <w:start w:val="1"/>
      <w:numFmt w:val="bullet"/>
      <w:lvlText w:val="●"/>
      <w:lvlJc w:val="left"/>
      <w:pPr>
        <w:ind w:left="720" w:hanging="360"/>
      </w:pPr>
    </w:lvl>
    <w:lvl w:ilvl="1" w:tplc="F0082B82">
      <w:start w:val="1"/>
      <w:numFmt w:val="bullet"/>
      <w:lvlText w:val="○"/>
      <w:lvlJc w:val="left"/>
      <w:pPr>
        <w:ind w:left="1440" w:hanging="360"/>
      </w:pPr>
    </w:lvl>
    <w:lvl w:ilvl="2" w:tplc="772C429C">
      <w:start w:val="1"/>
      <w:numFmt w:val="bullet"/>
      <w:lvlText w:val="■"/>
      <w:lvlJc w:val="left"/>
      <w:pPr>
        <w:ind w:left="2160" w:hanging="360"/>
      </w:pPr>
    </w:lvl>
    <w:lvl w:ilvl="3" w:tplc="C42C7B24">
      <w:start w:val="1"/>
      <w:numFmt w:val="bullet"/>
      <w:lvlText w:val="●"/>
      <w:lvlJc w:val="left"/>
      <w:pPr>
        <w:ind w:left="2880" w:hanging="360"/>
      </w:pPr>
    </w:lvl>
    <w:lvl w:ilvl="4" w:tplc="AF2A8130">
      <w:start w:val="1"/>
      <w:numFmt w:val="bullet"/>
      <w:lvlText w:val="○"/>
      <w:lvlJc w:val="left"/>
      <w:pPr>
        <w:ind w:left="3600" w:hanging="360"/>
      </w:pPr>
    </w:lvl>
    <w:lvl w:ilvl="5" w:tplc="B3B6D94E">
      <w:start w:val="1"/>
      <w:numFmt w:val="bullet"/>
      <w:lvlText w:val="■"/>
      <w:lvlJc w:val="left"/>
      <w:pPr>
        <w:ind w:left="4320" w:hanging="360"/>
      </w:pPr>
    </w:lvl>
    <w:lvl w:ilvl="6" w:tplc="09242CB2">
      <w:start w:val="1"/>
      <w:numFmt w:val="bullet"/>
      <w:lvlText w:val="●"/>
      <w:lvlJc w:val="left"/>
      <w:pPr>
        <w:ind w:left="5040" w:hanging="360"/>
      </w:pPr>
    </w:lvl>
    <w:lvl w:ilvl="7" w:tplc="3668A2E4">
      <w:start w:val="1"/>
      <w:numFmt w:val="bullet"/>
      <w:lvlText w:val="●"/>
      <w:lvlJc w:val="left"/>
      <w:pPr>
        <w:ind w:left="5760" w:hanging="360"/>
      </w:pPr>
    </w:lvl>
    <w:lvl w:ilvl="8" w:tplc="9A0C4B8E">
      <w:start w:val="1"/>
      <w:numFmt w:val="bullet"/>
      <w:lvlText w:val="●"/>
      <w:lvlJc w:val="left"/>
      <w:pPr>
        <w:ind w:left="6480" w:hanging="360"/>
      </w:pPr>
    </w:lvl>
  </w:abstractNum>
  <w:num w:numId="1" w16cid:durableId="2036423997">
    <w:abstractNumId w:val="1"/>
    <w:lvlOverride w:ilvl="0">
      <w:startOverride w:val="1"/>
    </w:lvlOverride>
  </w:num>
  <w:num w:numId="2" w16cid:durableId="178394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C15"/>
    <w:rsid w:val="00001E48"/>
    <w:rsid w:val="00072D08"/>
    <w:rsid w:val="00173BDA"/>
    <w:rsid w:val="002C30AB"/>
    <w:rsid w:val="002D76F9"/>
    <w:rsid w:val="003546BE"/>
    <w:rsid w:val="003D4146"/>
    <w:rsid w:val="0041281C"/>
    <w:rsid w:val="005D568E"/>
    <w:rsid w:val="005F5DC1"/>
    <w:rsid w:val="00642C15"/>
    <w:rsid w:val="006D1AB5"/>
    <w:rsid w:val="007C59F5"/>
    <w:rsid w:val="0085063A"/>
    <w:rsid w:val="008B6855"/>
    <w:rsid w:val="00DA58A2"/>
    <w:rsid w:val="00DA6668"/>
    <w:rsid w:val="00F06831"/>
    <w:rsid w:val="00F87D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EBAB"/>
  <w15:docId w15:val="{0048C0B1-C2BB-43D3-AB1D-2D8EA569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60"/>
      <w:outlineLvl w:val="0"/>
    </w:pPr>
    <w:rPr>
      <w:b/>
      <w:bCs/>
      <w:color w:val="1F3864"/>
      <w:sz w:val="32"/>
      <w:szCs w:val="32"/>
    </w:rPr>
  </w:style>
  <w:style w:type="paragraph" w:styleId="berschrift2">
    <w:name w:val="heading 2"/>
    <w:uiPriority w:val="9"/>
    <w:unhideWhenUsed/>
    <w:qFormat/>
    <w:pPr>
      <w:spacing w:before="280" w:after="120"/>
      <w:outlineLvl w:val="1"/>
    </w:pPr>
    <w:rPr>
      <w:b/>
      <w:bCs/>
      <w:color w:val="2E5F8A"/>
      <w:sz w:val="26"/>
      <w:szCs w:val="26"/>
    </w:rPr>
  </w:style>
  <w:style w:type="paragraph" w:styleId="berschrift3">
    <w:name w:val="heading 3"/>
    <w:uiPriority w:val="9"/>
    <w:unhideWhenUsed/>
    <w:qFormat/>
    <w:pPr>
      <w:spacing w:before="200" w:after="80"/>
      <w:outlineLvl w:val="2"/>
    </w:pPr>
    <w:rPr>
      <w:b/>
      <w:bCs/>
      <w:color w:val="2E5F8A"/>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DA6668"/>
    <w:pPr>
      <w:tabs>
        <w:tab w:val="center" w:pos="4536"/>
        <w:tab w:val="right" w:pos="9072"/>
      </w:tabs>
    </w:pPr>
  </w:style>
  <w:style w:type="character" w:customStyle="1" w:styleId="KopfzeileZchn">
    <w:name w:val="Kopfzeile Zchn"/>
    <w:basedOn w:val="Absatz-Standardschriftart"/>
    <w:link w:val="Kopfzeile"/>
    <w:uiPriority w:val="99"/>
    <w:rsid w:val="00DA6668"/>
  </w:style>
  <w:style w:type="paragraph" w:styleId="Fuzeile">
    <w:name w:val="footer"/>
    <w:basedOn w:val="Standard"/>
    <w:link w:val="FuzeileZchn"/>
    <w:uiPriority w:val="99"/>
    <w:unhideWhenUsed/>
    <w:rsid w:val="00DA6668"/>
    <w:pPr>
      <w:tabs>
        <w:tab w:val="center" w:pos="4536"/>
        <w:tab w:val="right" w:pos="9072"/>
      </w:tabs>
    </w:pPr>
  </w:style>
  <w:style w:type="character" w:customStyle="1" w:styleId="FuzeileZchn">
    <w:name w:val="Fußzeile Zchn"/>
    <w:basedOn w:val="Absatz-Standardschriftart"/>
    <w:link w:val="Fuzeile"/>
    <w:uiPriority w:val="99"/>
    <w:rsid w:val="00DA6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2093</Words>
  <Characters>13188</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Friedemann Klopp</cp:lastModifiedBy>
  <cp:revision>5</cp:revision>
  <dcterms:created xsi:type="dcterms:W3CDTF">2026-03-07T12:17:00Z</dcterms:created>
  <dcterms:modified xsi:type="dcterms:W3CDTF">2026-03-17T17:26:00Z</dcterms:modified>
</cp:coreProperties>
</file>