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45" w:rsidRDefault="00250C5A">
      <w:pPr>
        <w:pStyle w:val="a3"/>
        <w:spacing w:before="36" w:line="261" w:lineRule="auto"/>
        <w:ind w:left="119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D52945" w:rsidRDefault="00250C5A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  <w:rPr>
          <w:sz w:val="32"/>
        </w:rPr>
      </w:pPr>
    </w:p>
    <w:p w:rsidR="00D52945" w:rsidRDefault="00250C5A">
      <w:pPr>
        <w:pStyle w:val="a3"/>
        <w:ind w:left="2066" w:right="1973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№14</w:t>
      </w:r>
    </w:p>
    <w:p w:rsidR="00D52945" w:rsidRDefault="00250C5A">
      <w:pPr>
        <w:pStyle w:val="a3"/>
        <w:spacing w:before="159"/>
        <w:ind w:left="2066" w:right="1971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250C5A">
      <w:pPr>
        <w:pStyle w:val="a3"/>
        <w:spacing w:before="143"/>
        <w:ind w:left="5507" w:right="1557"/>
      </w:pPr>
      <w:r>
        <w:t xml:space="preserve">Выполнил: </w:t>
      </w:r>
      <w:proofErr w:type="spellStart"/>
      <w:r>
        <w:t>Гробова</w:t>
      </w:r>
      <w:proofErr w:type="spellEnd"/>
      <w:r>
        <w:t xml:space="preserve"> </w:t>
      </w:r>
      <w:proofErr w:type="gramStart"/>
      <w:r>
        <w:t xml:space="preserve">Софья </w:t>
      </w:r>
      <w:r>
        <w:rPr>
          <w:spacing w:val="-47"/>
        </w:rPr>
        <w:t xml:space="preserve"> </w:t>
      </w:r>
      <w:r>
        <w:t>Кирилловна</w:t>
      </w:r>
      <w:proofErr w:type="gramEnd"/>
      <w:r>
        <w:t>,</w:t>
      </w:r>
    </w:p>
    <w:p w:rsidR="00D52945" w:rsidRDefault="00250C5A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D52945" w:rsidRDefault="00250C5A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D52945" w:rsidRDefault="00250C5A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</w:pPr>
    </w:p>
    <w:p w:rsidR="00D52945" w:rsidRDefault="00D52945">
      <w:pPr>
        <w:pStyle w:val="a3"/>
        <w:spacing w:before="10"/>
        <w:rPr>
          <w:sz w:val="25"/>
        </w:rPr>
      </w:pPr>
    </w:p>
    <w:p w:rsidR="00D52945" w:rsidRDefault="00250C5A">
      <w:pPr>
        <w:pStyle w:val="a3"/>
        <w:ind w:left="2058" w:right="1976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D52945" w:rsidRDefault="00D52945">
      <w:pPr>
        <w:jc w:val="center"/>
        <w:sectPr w:rsidR="00D52945">
          <w:pgSz w:w="11910" w:h="16840"/>
          <w:pgMar w:top="1560" w:right="820" w:bottom="280" w:left="1580" w:header="720" w:footer="720" w:gutter="0"/>
          <w:cols w:space="720"/>
        </w:sectPr>
      </w:pPr>
    </w:p>
    <w:p w:rsidR="00D52945" w:rsidRDefault="00250C5A" w:rsidP="00250C5A">
      <w:pPr>
        <w:pStyle w:val="a3"/>
        <w:ind w:left="42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A7DEE89" wp14:editId="6059A747">
            <wp:extent cx="581025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5" w:rsidRDefault="00D52945">
      <w:pPr>
        <w:pStyle w:val="a3"/>
        <w:spacing w:before="10"/>
        <w:rPr>
          <w:sz w:val="11"/>
        </w:rPr>
      </w:pPr>
    </w:p>
    <w:p w:rsidR="00D52945" w:rsidRDefault="00250C5A">
      <w:pPr>
        <w:pStyle w:val="a3"/>
        <w:spacing w:before="56"/>
        <w:ind w:left="2066" w:right="1976"/>
        <w:jc w:val="center"/>
      </w:pP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</w:p>
    <w:p w:rsidR="00D52945" w:rsidRDefault="00250C5A">
      <w:pPr>
        <w:pStyle w:val="a3"/>
        <w:spacing w:before="183"/>
        <w:ind w:left="119"/>
      </w:pPr>
      <w:bookmarkStart w:id="0" w:name="_GoBack"/>
      <w:bookmarkEnd w:id="0"/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замыкание?</w:t>
      </w:r>
    </w:p>
    <w:p w:rsidR="00D52945" w:rsidRDefault="00250C5A">
      <w:pPr>
        <w:pStyle w:val="a3"/>
        <w:spacing w:before="182"/>
        <w:ind w:left="119"/>
      </w:pPr>
      <w:r>
        <w:t>“замыкание</w:t>
      </w:r>
      <w:r>
        <w:rPr>
          <w:spacing w:val="-3"/>
        </w:rPr>
        <w:t xml:space="preserve"> </w:t>
      </w:r>
      <w:r>
        <w:t>(</w:t>
      </w:r>
      <w:proofErr w:type="spellStart"/>
      <w:r>
        <w:t>closure</w:t>
      </w:r>
      <w:proofErr w:type="spellEnd"/>
      <w:r>
        <w:t>)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программировании —</w:t>
      </w:r>
      <w:r>
        <w:rPr>
          <w:spacing w:val="-2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функция,</w:t>
      </w:r>
      <w:r>
        <w:rPr>
          <w:spacing w:val="-6"/>
        </w:rPr>
        <w:t xml:space="preserve"> </w:t>
      </w:r>
      <w:r>
        <w:t>в</w:t>
      </w:r>
    </w:p>
    <w:p w:rsidR="00D52945" w:rsidRDefault="00250C5A">
      <w:pPr>
        <w:pStyle w:val="a3"/>
        <w:spacing w:before="178" w:line="403" w:lineRule="auto"/>
        <w:ind w:left="119" w:right="886"/>
      </w:pPr>
      <w:r>
        <w:t>теле которой присутствуют ссылки на переменные, объявленные вне тела этой функции в</w:t>
      </w:r>
      <w:r>
        <w:rPr>
          <w:spacing w:val="-47"/>
        </w:rPr>
        <w:t xml:space="preserve"> </w:t>
      </w:r>
      <w:r>
        <w:t>окружающем</w:t>
      </w:r>
      <w:r>
        <w:rPr>
          <w:spacing w:val="-3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являющиеся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параметрами.”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spacing w:before="1"/>
        <w:ind w:hanging="217"/>
      </w:pPr>
      <w:r>
        <w:t>Как</w:t>
      </w:r>
      <w:r>
        <w:rPr>
          <w:spacing w:val="-5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замыкания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D52945" w:rsidRDefault="00D52945">
      <w:pPr>
        <w:sectPr w:rsidR="00D52945">
          <w:pgSz w:w="11910" w:h="16840"/>
          <w:pgMar w:top="1120" w:right="820" w:bottom="280" w:left="1580" w:header="720" w:footer="720" w:gutter="0"/>
          <w:cols w:space="720"/>
        </w:sectPr>
      </w:pPr>
    </w:p>
    <w:p w:rsidR="00D52945" w:rsidRDefault="00250C5A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333067" cy="4534852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067" cy="45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45" w:rsidRDefault="00D52945">
      <w:pPr>
        <w:pStyle w:val="a3"/>
        <w:rPr>
          <w:sz w:val="9"/>
        </w:rPr>
      </w:pP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spacing w:before="57"/>
        <w:ind w:hanging="217"/>
        <w:jc w:val="both"/>
      </w:pPr>
      <w:r>
        <w:t>Что</w:t>
      </w:r>
      <w:r>
        <w:rPr>
          <w:spacing w:val="-5"/>
        </w:rPr>
        <w:t xml:space="preserve"> </w:t>
      </w:r>
      <w:r>
        <w:t>подразуме</w:t>
      </w:r>
      <w:r>
        <w:t>вает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видимости</w:t>
      </w:r>
      <w:r>
        <w:rPr>
          <w:spacing w:val="-8"/>
        </w:rPr>
        <w:t xml:space="preserve"> </w:t>
      </w:r>
      <w:proofErr w:type="spellStart"/>
      <w:r>
        <w:t>Local</w:t>
      </w:r>
      <w:proofErr w:type="spellEnd"/>
      <w:r>
        <w:t>?</w:t>
      </w:r>
    </w:p>
    <w:p w:rsidR="00D52945" w:rsidRDefault="00250C5A">
      <w:pPr>
        <w:pStyle w:val="a3"/>
        <w:spacing w:before="178"/>
        <w:ind w:left="119"/>
      </w:pPr>
      <w:r>
        <w:t>Эту</w:t>
      </w:r>
      <w:r>
        <w:rPr>
          <w:spacing w:val="-4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видимости</w:t>
      </w:r>
      <w:r>
        <w:rPr>
          <w:spacing w:val="-3"/>
        </w:rPr>
        <w:t xml:space="preserve"> </w:t>
      </w:r>
      <w:r>
        <w:t>имеют</w:t>
      </w:r>
      <w:r>
        <w:rPr>
          <w:spacing w:val="-4"/>
        </w:rPr>
        <w:t xml:space="preserve"> </w:t>
      </w:r>
      <w:r>
        <w:t>переменные,</w:t>
      </w:r>
      <w:r>
        <w:rPr>
          <w:spacing w:val="-6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создаются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внутри</w:t>
      </w:r>
      <w:r>
        <w:rPr>
          <w:spacing w:val="-3"/>
        </w:rPr>
        <w:t xml:space="preserve"> </w:t>
      </w:r>
      <w:r>
        <w:t>функций.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ind w:hanging="217"/>
        <w:jc w:val="both"/>
      </w:pPr>
      <w:r>
        <w:t>Что</w:t>
      </w:r>
      <w:r>
        <w:rPr>
          <w:spacing w:val="-6"/>
        </w:rPr>
        <w:t xml:space="preserve"> </w:t>
      </w:r>
      <w:r>
        <w:t>подразумевает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область</w:t>
      </w:r>
      <w:r>
        <w:rPr>
          <w:spacing w:val="-3"/>
        </w:rPr>
        <w:t xml:space="preserve"> </w:t>
      </w:r>
      <w:r>
        <w:t>видимости</w:t>
      </w:r>
      <w:r>
        <w:rPr>
          <w:spacing w:val="-8"/>
        </w:rPr>
        <w:t xml:space="preserve"> </w:t>
      </w:r>
      <w:proofErr w:type="spellStart"/>
      <w:r>
        <w:t>Enclosing</w:t>
      </w:r>
      <w:proofErr w:type="spellEnd"/>
      <w:r>
        <w:t>?</w:t>
      </w:r>
    </w:p>
    <w:p w:rsidR="00D52945" w:rsidRDefault="00250C5A">
      <w:pPr>
        <w:pStyle w:val="a3"/>
        <w:spacing w:before="182" w:line="400" w:lineRule="auto"/>
        <w:ind w:left="119" w:right="590"/>
        <w:jc w:val="both"/>
      </w:pPr>
      <w:r>
        <w:t>Суть данной области видимости в том, что внутри функции могут быть вложенные функции и</w:t>
      </w:r>
      <w:r>
        <w:rPr>
          <w:spacing w:val="-47"/>
        </w:rPr>
        <w:t xml:space="preserve"> </w:t>
      </w:r>
      <w:r>
        <w:t>локальные переменные, так вот локальная переменная функции для ее вложенной функции</w:t>
      </w:r>
      <w:r>
        <w:rPr>
          <w:spacing w:val="-47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enclosing</w:t>
      </w:r>
      <w:proofErr w:type="spellEnd"/>
      <w:r>
        <w:rPr>
          <w:spacing w:val="-1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видимости.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spacing w:before="4"/>
        <w:ind w:hanging="217"/>
        <w:jc w:val="both"/>
      </w:pPr>
      <w:r>
        <w:t>Что</w:t>
      </w:r>
      <w:r>
        <w:rPr>
          <w:spacing w:val="-5"/>
        </w:rPr>
        <w:t xml:space="preserve"> </w:t>
      </w:r>
      <w:r>
        <w:t>подразумевает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видимост</w:t>
      </w:r>
      <w:r>
        <w:t>и</w:t>
      </w:r>
      <w:r>
        <w:rPr>
          <w:spacing w:val="-7"/>
        </w:rPr>
        <w:t xml:space="preserve"> </w:t>
      </w:r>
      <w:proofErr w:type="spellStart"/>
      <w:r>
        <w:t>Global</w:t>
      </w:r>
      <w:proofErr w:type="spellEnd"/>
      <w:r>
        <w:t>?</w:t>
      </w:r>
    </w:p>
    <w:p w:rsidR="00D52945" w:rsidRDefault="00250C5A">
      <w:pPr>
        <w:pStyle w:val="a3"/>
        <w:spacing w:before="183"/>
        <w:ind w:left="119"/>
      </w:pPr>
      <w:r>
        <w:t>Переменные</w:t>
      </w:r>
      <w:r>
        <w:rPr>
          <w:spacing w:val="-4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видимости</w:t>
      </w:r>
      <w:r>
        <w:rPr>
          <w:spacing w:val="-3"/>
        </w:rPr>
        <w:t xml:space="preserve"> </w:t>
      </w:r>
      <w:proofErr w:type="spellStart"/>
      <w:r>
        <w:t>global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глобальные</w:t>
      </w:r>
      <w:r>
        <w:rPr>
          <w:spacing w:val="-3"/>
        </w:rPr>
        <w:t xml:space="preserve"> </w:t>
      </w:r>
      <w:r>
        <w:t>переменные</w:t>
      </w:r>
      <w:r>
        <w:rPr>
          <w:spacing w:val="-3"/>
        </w:rPr>
        <w:t xml:space="preserve"> </w:t>
      </w:r>
      <w:r>
        <w:t>уровня</w:t>
      </w:r>
      <w:r>
        <w:rPr>
          <w:spacing w:val="-4"/>
        </w:rPr>
        <w:t xml:space="preserve"> </w:t>
      </w:r>
      <w:r>
        <w:t>модуля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spacing w:before="178" w:line="403" w:lineRule="auto"/>
        <w:ind w:left="119" w:right="3647" w:firstLine="0"/>
      </w:pPr>
      <w:r>
        <w:t xml:space="preserve">Что подразумевает под собой область видимости </w:t>
      </w:r>
      <w:proofErr w:type="spellStart"/>
      <w:r>
        <w:t>Build-in</w:t>
      </w:r>
      <w:proofErr w:type="spellEnd"/>
      <w:r>
        <w:t>?</w:t>
      </w:r>
      <w:r>
        <w:rPr>
          <w:spacing w:val="-47"/>
        </w:rPr>
        <w:t xml:space="preserve"> </w:t>
      </w:r>
      <w:proofErr w:type="spellStart"/>
      <w:r>
        <w:t>Built-in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максимально</w:t>
      </w:r>
      <w:r>
        <w:rPr>
          <w:spacing w:val="-4"/>
        </w:rPr>
        <w:t xml:space="preserve"> </w:t>
      </w:r>
      <w:r>
        <w:t>широкая</w:t>
      </w:r>
      <w:r>
        <w:rPr>
          <w:spacing w:val="-2"/>
        </w:rPr>
        <w:t xml:space="preserve"> </w:t>
      </w:r>
      <w:r>
        <w:t>область</w:t>
      </w:r>
      <w:r>
        <w:rPr>
          <w:spacing w:val="-2"/>
        </w:rPr>
        <w:t xml:space="preserve"> </w:t>
      </w:r>
      <w:r>
        <w:t>видимости.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spacing w:before="0"/>
        <w:ind w:hanging="217"/>
      </w:pPr>
      <w:r>
        <w:t>Как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замыкания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D52945" w:rsidRDefault="00250C5A">
      <w:pPr>
        <w:pStyle w:val="a3"/>
        <w:spacing w:before="173" w:line="261" w:lineRule="auto"/>
        <w:ind w:left="119" w:right="504"/>
        <w:jc w:val="both"/>
      </w:pPr>
      <w:r>
        <w:t>Замыкания позволяют избежать использования глобальных (</w:t>
      </w:r>
      <w:proofErr w:type="spellStart"/>
      <w:r>
        <w:t>global</w:t>
      </w:r>
      <w:proofErr w:type="spellEnd"/>
      <w:r>
        <w:t>) значений и обеспечивают</w:t>
      </w:r>
      <w:r>
        <w:rPr>
          <w:spacing w:val="-47"/>
        </w:rPr>
        <w:t xml:space="preserve"> </w:t>
      </w:r>
      <w:r>
        <w:t>некоторую</w:t>
      </w:r>
      <w:r>
        <w:rPr>
          <w:spacing w:val="-4"/>
        </w:rPr>
        <w:t xml:space="preserve"> </w:t>
      </w:r>
      <w:r>
        <w:t>форму</w:t>
      </w:r>
      <w:r>
        <w:rPr>
          <w:spacing w:val="-2"/>
        </w:rPr>
        <w:t xml:space="preserve"> </w:t>
      </w:r>
      <w:r>
        <w:t>сокрытия</w:t>
      </w:r>
      <w:r>
        <w:rPr>
          <w:spacing w:val="-1"/>
        </w:rPr>
        <w:t xml:space="preserve"> </w:t>
      </w:r>
      <w:r>
        <w:t>данных.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объектно-</w:t>
      </w:r>
    </w:p>
    <w:p w:rsidR="00D52945" w:rsidRDefault="00250C5A">
      <w:pPr>
        <w:pStyle w:val="a3"/>
        <w:ind w:left="119"/>
      </w:pPr>
      <w:r>
        <w:t>ориентированный</w:t>
      </w:r>
      <w:r>
        <w:rPr>
          <w:spacing w:val="-5"/>
        </w:rPr>
        <w:t xml:space="preserve"> </w:t>
      </w:r>
      <w:r>
        <w:t>подход.</w:t>
      </w:r>
    </w:p>
    <w:p w:rsidR="00D52945" w:rsidRDefault="00D52945">
      <w:pPr>
        <w:sectPr w:rsidR="00D52945">
          <w:pgSz w:w="11910" w:h="16840"/>
          <w:pgMar w:top="1120" w:right="820" w:bottom="280" w:left="1580" w:header="720" w:footer="720" w:gutter="0"/>
          <w:cols w:space="720"/>
        </w:sectPr>
      </w:pPr>
    </w:p>
    <w:p w:rsidR="00D52945" w:rsidRDefault="00250C5A">
      <w:pPr>
        <w:pStyle w:val="a3"/>
        <w:spacing w:before="36" w:line="261" w:lineRule="auto"/>
        <w:ind w:left="119" w:right="98"/>
      </w:pPr>
      <w:r>
        <w:lastRenderedPageBreak/>
        <w:t>Если в классе необходимо реализовать неболь</w:t>
      </w:r>
      <w:r>
        <w:t>шое количество методов (в большинстве случаев</w:t>
      </w:r>
      <w:r>
        <w:rPr>
          <w:spacing w:val="1"/>
        </w:rPr>
        <w:t xml:space="preserve"> </w:t>
      </w:r>
      <w:r>
        <w:t>один метод), замыкания могут обеспечить альтернативное и более элегантное решение. Но когда</w:t>
      </w:r>
      <w:r>
        <w:rPr>
          <w:spacing w:val="-47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атрибутов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становится</w:t>
      </w:r>
      <w:r>
        <w:rPr>
          <w:spacing w:val="-3"/>
        </w:rPr>
        <w:t xml:space="preserve"> </w:t>
      </w:r>
      <w:r>
        <w:t>больше,</w:t>
      </w:r>
      <w:r>
        <w:rPr>
          <w:spacing w:val="-4"/>
        </w:rPr>
        <w:t xml:space="preserve"> </w:t>
      </w:r>
      <w:r>
        <w:t>лучше</w:t>
      </w:r>
      <w:r>
        <w:rPr>
          <w:spacing w:val="-3"/>
        </w:rPr>
        <w:t xml:space="preserve"> </w:t>
      </w:r>
      <w:r>
        <w:t>реализовать класс.</w:t>
      </w:r>
    </w:p>
    <w:p w:rsidR="00D52945" w:rsidRDefault="00250C5A">
      <w:pPr>
        <w:pStyle w:val="a4"/>
        <w:numPr>
          <w:ilvl w:val="0"/>
          <w:numId w:val="1"/>
        </w:numPr>
        <w:tabs>
          <w:tab w:val="left" w:pos="336"/>
        </w:tabs>
        <w:spacing w:before="159"/>
        <w:ind w:hanging="217"/>
      </w:pPr>
      <w:r>
        <w:t>Как</w:t>
      </w:r>
      <w:r>
        <w:rPr>
          <w:spacing w:val="-6"/>
        </w:rPr>
        <w:t xml:space="preserve"> </w:t>
      </w:r>
      <w:r>
        <w:t>замыкания</w:t>
      </w:r>
      <w:r>
        <w:rPr>
          <w:spacing w:val="-2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использованы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иерархических</w:t>
      </w:r>
      <w:r>
        <w:rPr>
          <w:spacing w:val="-4"/>
        </w:rPr>
        <w:t xml:space="preserve"> </w:t>
      </w:r>
      <w:r>
        <w:t>данных?</w:t>
      </w:r>
    </w:p>
    <w:p w:rsidR="00D52945" w:rsidRDefault="00250C5A">
      <w:pPr>
        <w:pStyle w:val="a3"/>
        <w:spacing w:before="178" w:line="403" w:lineRule="auto"/>
        <w:ind w:left="119" w:right="878"/>
      </w:pPr>
      <w:r>
        <w:t>Перейдем с уровня математики на уровень функционального программирования. Вот как</w:t>
      </w:r>
      <w:r>
        <w:rPr>
          <w:spacing w:val="-47"/>
        </w:rPr>
        <w:t xml:space="preserve"> </w:t>
      </w:r>
      <w:r>
        <w:t>определяется “свойство замыкания” в книге “Структура и интерпретация компьютерных</w:t>
      </w:r>
      <w:r>
        <w:rPr>
          <w:spacing w:val="1"/>
        </w:rPr>
        <w:t xml:space="preserve"> </w:t>
      </w:r>
      <w:r>
        <w:t>программ”</w:t>
      </w:r>
      <w:r>
        <w:rPr>
          <w:spacing w:val="-5"/>
        </w:rPr>
        <w:t xml:space="preserve"> </w:t>
      </w:r>
      <w:proofErr w:type="spellStart"/>
      <w:r>
        <w:t>Айбельсона</w:t>
      </w:r>
      <w:proofErr w:type="spellEnd"/>
      <w:r>
        <w:rPr>
          <w:spacing w:val="-2"/>
        </w:rPr>
        <w:t xml:space="preserve"> </w:t>
      </w:r>
      <w:r>
        <w:t>Х.,</w:t>
      </w:r>
      <w:r>
        <w:rPr>
          <w:spacing w:val="-5"/>
        </w:rPr>
        <w:t xml:space="preserve"> </w:t>
      </w:r>
      <w:proofErr w:type="spellStart"/>
      <w:r>
        <w:t>Сассмана</w:t>
      </w:r>
      <w:proofErr w:type="spellEnd"/>
      <w:r>
        <w:rPr>
          <w:spacing w:val="-3"/>
        </w:rPr>
        <w:t xml:space="preserve"> </w:t>
      </w:r>
      <w:r>
        <w:t>Д.</w:t>
      </w:r>
      <w:r>
        <w:rPr>
          <w:spacing w:val="-1"/>
        </w:rPr>
        <w:t xml:space="preserve"> </w:t>
      </w:r>
      <w:proofErr w:type="gramStart"/>
      <w:r>
        <w:t>Д.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“В</w:t>
      </w:r>
      <w:r>
        <w:rPr>
          <w:spacing w:val="-2"/>
        </w:rPr>
        <w:t xml:space="preserve"> </w:t>
      </w:r>
      <w:r>
        <w:t>общем</w:t>
      </w:r>
      <w:r>
        <w:rPr>
          <w:spacing w:val="-2"/>
        </w:rPr>
        <w:t xml:space="preserve"> </w:t>
      </w:r>
      <w:r>
        <w:t>случае,</w:t>
      </w:r>
      <w:r>
        <w:rPr>
          <w:spacing w:val="-6"/>
        </w:rPr>
        <w:t xml:space="preserve"> </w:t>
      </w:r>
      <w:r>
        <w:t>операция</w:t>
      </w:r>
      <w:r>
        <w:rPr>
          <w:spacing w:val="-1"/>
        </w:rPr>
        <w:t xml:space="preserve"> </w:t>
      </w:r>
      <w:r>
        <w:t>комбинирования</w:t>
      </w:r>
    </w:p>
    <w:p w:rsidR="00D52945" w:rsidRDefault="00250C5A">
      <w:pPr>
        <w:pStyle w:val="a3"/>
        <w:spacing w:before="1" w:line="398" w:lineRule="auto"/>
        <w:ind w:left="119" w:right="651"/>
      </w:pPr>
      <w:r>
        <w:t>объектов данных обладает свойством замыкания в том случае, если результаты соединения</w:t>
      </w:r>
      <w:r>
        <w:rPr>
          <w:spacing w:val="-47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сами</w:t>
      </w:r>
      <w:r>
        <w:rPr>
          <w:spacing w:val="-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соединяться</w:t>
      </w:r>
      <w:r>
        <w:rPr>
          <w:spacing w:val="-2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операцией”.</w:t>
      </w:r>
    </w:p>
    <w:p w:rsidR="00D52945" w:rsidRDefault="00250C5A">
      <w:pPr>
        <w:pStyle w:val="a3"/>
        <w:spacing w:before="6"/>
        <w:ind w:left="119"/>
      </w:pPr>
      <w:r>
        <w:t>Это</w:t>
      </w:r>
      <w:r>
        <w:rPr>
          <w:spacing w:val="-6"/>
        </w:rPr>
        <w:t xml:space="preserve"> </w:t>
      </w:r>
      <w:r>
        <w:t>свойство</w:t>
      </w:r>
      <w:r>
        <w:rPr>
          <w:spacing w:val="-6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строить</w:t>
      </w:r>
      <w:r>
        <w:rPr>
          <w:spacing w:val="-3"/>
        </w:rPr>
        <w:t xml:space="preserve"> </w:t>
      </w:r>
      <w:r>
        <w:t>иерархические</w:t>
      </w:r>
      <w:r>
        <w:rPr>
          <w:spacing w:val="-4"/>
        </w:rPr>
        <w:t xml:space="preserve"> </w:t>
      </w:r>
      <w:r>
        <w:t>структуры</w:t>
      </w:r>
      <w:r>
        <w:rPr>
          <w:spacing w:val="-4"/>
        </w:rPr>
        <w:t xml:space="preserve"> </w:t>
      </w:r>
      <w:r>
        <w:t>данных.</w:t>
      </w:r>
    </w:p>
    <w:p w:rsidR="00D52945" w:rsidRDefault="00250C5A">
      <w:pPr>
        <w:pStyle w:val="a3"/>
        <w:spacing w:before="4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1103399</wp:posOffset>
            </wp:positionH>
            <wp:positionV relativeFrom="paragraph">
              <wp:posOffset>174582</wp:posOffset>
            </wp:positionV>
            <wp:extent cx="4063356" cy="3428047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356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2945">
      <w:pgSz w:w="11910" w:h="16840"/>
      <w:pgMar w:top="1080" w:right="8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7015B"/>
    <w:multiLevelType w:val="hybridMultilevel"/>
    <w:tmpl w:val="6AF6E54A"/>
    <w:lvl w:ilvl="0" w:tplc="CA8841BC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40AEE44">
      <w:numFmt w:val="bullet"/>
      <w:lvlText w:val="•"/>
      <w:lvlJc w:val="left"/>
      <w:pPr>
        <w:ind w:left="1256" w:hanging="216"/>
      </w:pPr>
      <w:rPr>
        <w:rFonts w:hint="default"/>
        <w:lang w:val="ru-RU" w:eastAsia="en-US" w:bidi="ar-SA"/>
      </w:rPr>
    </w:lvl>
    <w:lvl w:ilvl="2" w:tplc="2FA414B0">
      <w:numFmt w:val="bullet"/>
      <w:lvlText w:val="•"/>
      <w:lvlJc w:val="left"/>
      <w:pPr>
        <w:ind w:left="2172" w:hanging="216"/>
      </w:pPr>
      <w:rPr>
        <w:rFonts w:hint="default"/>
        <w:lang w:val="ru-RU" w:eastAsia="en-US" w:bidi="ar-SA"/>
      </w:rPr>
    </w:lvl>
    <w:lvl w:ilvl="3" w:tplc="005E532C">
      <w:numFmt w:val="bullet"/>
      <w:lvlText w:val="•"/>
      <w:lvlJc w:val="left"/>
      <w:pPr>
        <w:ind w:left="3089" w:hanging="216"/>
      </w:pPr>
      <w:rPr>
        <w:rFonts w:hint="default"/>
        <w:lang w:val="ru-RU" w:eastAsia="en-US" w:bidi="ar-SA"/>
      </w:rPr>
    </w:lvl>
    <w:lvl w:ilvl="4" w:tplc="0FDE164C">
      <w:numFmt w:val="bullet"/>
      <w:lvlText w:val="•"/>
      <w:lvlJc w:val="left"/>
      <w:pPr>
        <w:ind w:left="4005" w:hanging="216"/>
      </w:pPr>
      <w:rPr>
        <w:rFonts w:hint="default"/>
        <w:lang w:val="ru-RU" w:eastAsia="en-US" w:bidi="ar-SA"/>
      </w:rPr>
    </w:lvl>
    <w:lvl w:ilvl="5" w:tplc="B7EC7FCC">
      <w:numFmt w:val="bullet"/>
      <w:lvlText w:val="•"/>
      <w:lvlJc w:val="left"/>
      <w:pPr>
        <w:ind w:left="4922" w:hanging="216"/>
      </w:pPr>
      <w:rPr>
        <w:rFonts w:hint="default"/>
        <w:lang w:val="ru-RU" w:eastAsia="en-US" w:bidi="ar-SA"/>
      </w:rPr>
    </w:lvl>
    <w:lvl w:ilvl="6" w:tplc="31A29F48">
      <w:numFmt w:val="bullet"/>
      <w:lvlText w:val="•"/>
      <w:lvlJc w:val="left"/>
      <w:pPr>
        <w:ind w:left="5838" w:hanging="216"/>
      </w:pPr>
      <w:rPr>
        <w:rFonts w:hint="default"/>
        <w:lang w:val="ru-RU" w:eastAsia="en-US" w:bidi="ar-SA"/>
      </w:rPr>
    </w:lvl>
    <w:lvl w:ilvl="7" w:tplc="323A4E36">
      <w:numFmt w:val="bullet"/>
      <w:lvlText w:val="•"/>
      <w:lvlJc w:val="left"/>
      <w:pPr>
        <w:ind w:left="6754" w:hanging="216"/>
      </w:pPr>
      <w:rPr>
        <w:rFonts w:hint="default"/>
        <w:lang w:val="ru-RU" w:eastAsia="en-US" w:bidi="ar-SA"/>
      </w:rPr>
    </w:lvl>
    <w:lvl w:ilvl="8" w:tplc="E32CCA1A">
      <w:numFmt w:val="bullet"/>
      <w:lvlText w:val="•"/>
      <w:lvlJc w:val="left"/>
      <w:pPr>
        <w:ind w:left="7671" w:hanging="2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2945"/>
    <w:rsid w:val="00250C5A"/>
    <w:rsid w:val="00D5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FA04"/>
  <w15:docId w15:val="{E79E1C30-B7F5-4E1B-8AAD-1EBD873E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83"/>
      <w:ind w:left="335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2022-01-20T09:07:00Z</dcterms:created>
  <dcterms:modified xsi:type="dcterms:W3CDTF">2022-01-20T11:57:00Z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