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before="0" w:after="200"/>
        <w:jc w:val="center"/>
      </w:pPr>
      <w:r>
        <w:rPr>
          <w:rFonts w:ascii="Arial" w:cs="Arial" w:eastAsia="Arial" w:hAnsi="Arial"/>
          <w:b/>
          <w:bCs/>
          <w:color w:val="2E75B6"/>
          <w:sz w:val="28"/>
          <w:szCs w:val="28"/>
        </w:rPr>
        <w:t xml:space="preserve">Ynov Toulouse</w:t>
      </w:r>
    </w:p>
    <w:p>
      <w:pPr>
        <w:spacing w:before="0" w:after="200"/>
        <w:jc w:val="center"/>
      </w:pPr>
      <w:r>
        <w:rPr>
          <w:rFonts w:ascii="Arial" w:cs="Arial" w:eastAsia="Arial" w:hAnsi="Arial"/>
          <w:color w:val="444444"/>
          <w:sz w:val="26"/>
          <w:szCs w:val="26"/>
        </w:rPr>
        <w:t xml:space="preserve">M1 Intelligence Artificielle</w:t>
      </w:r>
    </w:p>
    <w:p>
      <w:pPr>
        <w:spacing w:before="0" w:after="200"/>
        <w:jc w:val="center"/>
      </w:pPr>
      <w:r>
        <w:rPr>
          <w:rFonts w:ascii="Arial" w:cs="Arial" w:eastAsia="Arial" w:hAnsi="Arial"/>
          <w:color w:val="666666"/>
          <w:sz w:val="24"/>
          <w:szCs w:val="24"/>
        </w:rPr>
        <w:t xml:space="preserve">2025 – 2026</w:t>
      </w:r>
    </w:p>
    <w:p>
      <w:pPr>
        <w:pBdr>
          <w:bottom w:val="thick" w:color="2E75B6" w:sz="6"/>
        </w:pBdr>
        <w:spacing w:before="200" w:after="400"/>
        <w:jc w:val="center"/>
      </w:pPr>
      <w:r>
        <w:t xml:space="preserve"/>
      </w:r>
    </w:p>
    <w:p>
      <w:pPr>
        <w:spacing w:before="0" w:after="300"/>
        <w:jc w:val="center"/>
      </w:pPr>
      <w:r>
        <w:rPr>
          <w:rFonts w:ascii="Arial" w:cs="Arial" w:eastAsia="Arial" w:hAnsi="Arial"/>
          <w:b/>
          <w:bCs/>
          <w:color w:val="1F3864"/>
          <w:sz w:val="36"/>
          <w:szCs w:val="36"/>
        </w:rPr>
        <w:t xml:space="preserve">Projet ML – California Housing Prices</w:t>
      </w:r>
    </w:p>
    <w:p>
      <w:pPr>
        <w:spacing w:before="0" w:after="200"/>
        <w:jc w:val="center"/>
      </w:pPr>
      <w:r>
        <w:rPr>
          <w:rFonts w:ascii="Arial" w:cs="Arial" w:eastAsia="Arial" w:hAnsi="Arial"/>
          <w:i/>
          <w:iCs/>
          <w:color w:val="2E75B6"/>
          <w:sz w:val="28"/>
          <w:szCs w:val="28"/>
        </w:rPr>
        <w:t xml:space="preserve">Apprentissage Ensembliste &amp; Réduction de Dimensions</w:t>
      </w:r>
    </w:p>
    <w:p>
      <w:r>
        <w:t xml:space="preserve"/>
      </w:r>
    </w:p>
    <w:p>
      <w:r>
        <w:t xml:space="preserve"/>
      </w:r>
    </w:p>
    <w:p>
      <w:r>
        <w:t xml:space="preserve"/>
      </w:r>
    </w:p>
    <w:p>
      <w:r>
        <w:t xml:space="preserve"/>
      </w:r>
    </w:p>
    <w:p>
      <w:r>
        <w:t xml:space="preserve"/>
      </w:r>
    </w:p>
    <w:p>
      <w:r>
        <w:t xml:space="preserve"/>
      </w:r>
    </w:p>
    <w:p>
      <w:pPr>
        <w:spacing w:before="0" w:after="120"/>
        <w:jc w:val="center"/>
      </w:pPr>
      <w:r>
        <w:rPr>
          <w:rFonts w:ascii="Arial" w:cs="Arial" w:eastAsia="Arial" w:hAnsi="Arial"/>
          <w:b/>
          <w:bCs/>
          <w:color w:val="1F3864"/>
          <w:sz w:val="28"/>
          <w:szCs w:val="28"/>
        </w:rPr>
        <w:t xml:space="preserve">Michée SOGBOSSI</w:t>
      </w:r>
    </w:p>
    <w:p>
      <w:pPr>
        <w:jc w:val="center"/>
      </w:pPr>
      <w:r>
        <w:rPr>
          <w:rFonts w:ascii="Arial" w:cs="Arial" w:eastAsia="Arial" w:hAnsi="Arial"/>
          <w:color w:val="666666"/>
          <w:sz w:val="24"/>
          <w:szCs w:val="24"/>
        </w:rPr>
        <w:t xml:space="preserve">Mars 2026</w:t>
      </w:r>
    </w:p>
    <w:p>
      <w:r>
        <w:br w:type="page"/>
      </w:r>
    </w:p>
    <w:p>
      <w:pPr>
        <w:pStyle w:val="Heading1"/>
      </w:pPr>
      <w:r>
        <w:rPr>
          <w:rFonts w:ascii="Arial" w:cs="Arial" w:eastAsia="Arial" w:hAnsi="Arial"/>
          <w:b/>
          <w:bCs/>
          <w:color w:val="1F3864"/>
          <w:sz w:val="32"/>
          <w:szCs w:val="32"/>
        </w:rPr>
        <w:t xml:space="preserve">Partie 1 – Mise en place du projet ML</w:t>
      </w:r>
    </w:p>
    <w:p>
      <w:pPr>
        <w:pStyle w:val="Heading2"/>
      </w:pPr>
      <w:r>
        <w:rPr>
          <w:rFonts w:ascii="Arial" w:cs="Arial" w:eastAsia="Arial" w:hAnsi="Arial"/>
          <w:b/>
          <w:bCs/>
          <w:color w:val="2E75B6"/>
          <w:sz w:val="26"/>
          <w:szCs w:val="26"/>
        </w:rPr>
        <w:t xml:space="preserve">1.1 Vision d'ensemble</w:t>
      </w:r>
    </w:p>
    <w:p>
      <w:pPr>
        <w:spacing w:before="100" w:after="100"/>
      </w:pPr>
      <w:r>
        <w:rPr>
          <w:rFonts w:ascii="Arial" w:cs="Arial" w:eastAsia="Arial" w:hAnsi="Arial"/>
          <w:sz w:val="22"/>
          <w:szCs w:val="22"/>
        </w:rPr>
        <w:t xml:space="preserve">L'objectif professionnel est de prédire le prix médian des habitations dans les districts de Californie. Ce modèle alimente un système en aval d'analyse d'investissement immobilier.</w:t>
      </w:r>
    </w:p>
    <w:p>
      <w:pPr>
        <w:spacing w:before="100" w:after="100"/>
      </w:pPr>
      <w:r>
        <w:rPr>
          <w:rFonts w:ascii="Arial" w:cs="Arial" w:eastAsia="Arial" w:hAnsi="Arial"/>
          <w:sz w:val="22"/>
          <w:szCs w:val="22"/>
        </w:rPr>
        <w:t xml:space="preserve">Type de tâche : Apprentissage supervisé – Régression (valeur numérique continue).</w:t>
      </w:r>
    </w:p>
    <w:p>
      <w:pPr>
        <w:spacing w:before="100" w:after="100"/>
      </w:pPr>
      <w:r>
        <w:rPr>
          <w:rFonts w:ascii="Arial" w:cs="Arial" w:eastAsia="Arial" w:hAnsi="Arial"/>
          <w:sz w:val="22"/>
          <w:szCs w:val="22"/>
        </w:rPr>
        <w:t xml:space="preserve">Mesure de performance : RMSE (Root Mean Squared Error), MAE et R².</w:t>
      </w:r>
    </w:p>
    <w:p>
      <w:pPr>
        <w:pStyle w:val="Heading2"/>
      </w:pPr>
      <w:r>
        <w:rPr>
          <w:rFonts w:ascii="Arial" w:cs="Arial" w:eastAsia="Arial" w:hAnsi="Arial"/>
          <w:b/>
          <w:bCs/>
          <w:color w:val="2E75B6"/>
          <w:sz w:val="26"/>
          <w:szCs w:val="26"/>
        </w:rPr>
        <w:t xml:space="preserve">1.2 Le jeu de données – California Housing Prices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Caractéristique</w:t>
            </w:r>
          </w:p>
        </w:tc>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w:t>
            </w:r>
          </w:p>
        </w:tc>
      </w:tr>
      <w:tr>
        <w:tc>
          <w:tcPr>
            <w:tcW w:type="dxa" w:w="4680"/>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left"/>
            </w:pPr>
            <w:r>
              <w:rPr>
                <w:rFonts w:ascii="Arial" w:cs="Arial" w:eastAsia="Arial" w:hAnsi="Arial"/>
                <w:b/>
                <w:bCs/>
                <w:sz w:val="20"/>
                <w:szCs w:val="20"/>
              </w:rPr>
              <w:t xml:space="preserve">Nombre d'instances</w:t>
            </w:r>
          </w:p>
        </w:tc>
        <w:tc>
          <w:tcPr>
            <w:tcW w:type="dxa" w:w="4680"/>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20 640</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Nombre de variables</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10 (9 features + 1 cible)</w:t>
            </w:r>
          </w:p>
        </w:tc>
      </w:tr>
      <w:tr>
        <w:tc>
          <w:tcPr>
            <w:tcW w:type="dxa" w:w="4680"/>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left"/>
            </w:pPr>
            <w:r>
              <w:rPr>
                <w:rFonts w:ascii="Arial" w:cs="Arial" w:eastAsia="Arial" w:hAnsi="Arial"/>
                <w:b/>
                <w:bCs/>
                <w:sz w:val="20"/>
                <w:szCs w:val="20"/>
              </w:rPr>
              <w:t xml:space="preserve">Variable cible</w:t>
            </w:r>
          </w:p>
        </w:tc>
        <w:tc>
          <w:tcPr>
            <w:tcW w:type="dxa" w:w="4680"/>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median_house_value</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Variable catégorielle</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ocean_proximity (5 valeurs)</w:t>
            </w:r>
          </w:p>
        </w:tc>
      </w:tr>
      <w:tr>
        <w:tc>
          <w:tcPr>
            <w:tcW w:type="dxa" w:w="4680"/>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left"/>
            </w:pPr>
            <w:r>
              <w:rPr>
                <w:rFonts w:ascii="Arial" w:cs="Arial" w:eastAsia="Arial" w:hAnsi="Arial"/>
                <w:b/>
                <w:bCs/>
                <w:sz w:val="20"/>
                <w:szCs w:val="20"/>
              </w:rPr>
              <w:t xml:space="preserve">Valeurs manquantes</w:t>
            </w:r>
          </w:p>
        </w:tc>
        <w:tc>
          <w:tcPr>
            <w:tcW w:type="dxa" w:w="4680"/>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207 dans total_bedrooms (1%)</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Source</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Recensement californien 1990</w:t>
            </w:r>
          </w:p>
        </w:tc>
      </w:tr>
    </w:tbl>
    <w:p>
      <w:r>
        <w:t xml:space="preserve"/>
      </w:r>
    </w:p>
    <w:p>
      <w:pPr>
        <w:pStyle w:val="Heading2"/>
      </w:pPr>
      <w:r>
        <w:rPr>
          <w:rFonts w:ascii="Arial" w:cs="Arial" w:eastAsia="Arial" w:hAnsi="Arial"/>
          <w:b/>
          <w:bCs/>
          <w:color w:val="2E75B6"/>
          <w:sz w:val="26"/>
          <w:szCs w:val="26"/>
        </w:rPr>
        <w:t xml:space="preserve">1.3 Exploration et visualisation</w:t>
      </w:r>
    </w:p>
    <w:p>
      <w:pPr>
        <w:spacing w:before="100" w:after="100"/>
      </w:pPr>
      <w:r>
        <w:rPr>
          <w:rFonts w:ascii="Arial" w:cs="Arial" w:eastAsia="Arial" w:hAnsi="Arial"/>
          <w:sz w:val="22"/>
          <w:szCs w:val="22"/>
        </w:rPr>
        <w:t xml:space="preserve">Le dataset contient les variables : longitude, latitude, housing_median_age, total_rooms, total_bedrooms, population, households, median_income, ocean_proximity et la cible median_house_value.</w:t>
      </w:r>
    </w:p>
    <w:p>
      <w:pPr>
        <w:spacing w:before="160" w:after="80"/>
        <w:jc w:val="center"/>
      </w:pPr>
      <w:r>
        <w:drawing>
          <wp:inline distT="0" distB="0" distL="0" distR="0">
            <wp:extent cx="4953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953000" cy="3238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1 – Carte géographique des districts (taille = population, couleur = prix médian)</w:t>
      </w:r>
    </w:p>
    <w:p>
      <w:pPr>
        <w:spacing w:before="100" w:after="100"/>
      </w:pPr>
      <w:r>
        <w:rPr>
          <w:rFonts w:ascii="Arial" w:cs="Arial" w:eastAsia="Arial" w:hAnsi="Arial"/>
          <w:sz w:val="22"/>
          <w:szCs w:val="22"/>
        </w:rPr>
        <w:t xml:space="preserve">Les districts côtiers, notamment autour de San Francisco et Los Angeles, présentent les prix les plus élevés. La densité de population est fortement concentrée dans les zones urbaines littorales.</w:t>
      </w:r>
    </w:p>
    <w:p>
      <w:pPr>
        <w:spacing w:before="160" w:after="80"/>
        <w:jc w:val="center"/>
      </w:pPr>
      <w:r>
        <w:drawing>
          <wp:inline distT="0" distB="0" distL="0" distR="0">
            <wp:extent cx="4572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619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2 – Matrice de corrélation entre les variables numériques</w:t>
      </w:r>
    </w:p>
    <w:p>
      <w:pPr>
        <w:spacing w:before="100" w:after="100"/>
      </w:pPr>
      <w:r>
        <w:rPr>
          <w:rFonts w:ascii="Arial" w:cs="Arial" w:eastAsia="Arial" w:hAnsi="Arial"/>
          <w:sz w:val="22"/>
          <w:szCs w:val="22"/>
        </w:rPr>
        <w:t xml:space="preserve">La variable median_income est la plus corrélée avec median_house_value (r = 0.688), ce qui est la corrélation la plus forte. Les variables géographiques (longitude, latitude) ont des corrélations négatives modérées.</w:t>
      </w:r>
    </w:p>
    <w:p>
      <w:pPr>
        <w:pStyle w:val="Heading2"/>
      </w:pPr>
      <w:r>
        <w:rPr>
          <w:rFonts w:ascii="Arial" w:cs="Arial" w:eastAsia="Arial" w:hAnsi="Arial"/>
          <w:b/>
          <w:bCs/>
          <w:color w:val="2E75B6"/>
          <w:sz w:val="26"/>
          <w:szCs w:val="26"/>
        </w:rPr>
        <w:t xml:space="preserve">1.4 Préparation des données</w:t>
      </w:r>
    </w:p>
    <w:p>
      <w:pPr>
        <w:spacing w:before="100" w:after="100"/>
      </w:pPr>
      <w:r>
        <w:rPr>
          <w:rFonts w:ascii="Arial" w:cs="Arial" w:eastAsia="Arial" w:hAnsi="Arial"/>
          <w:sz w:val="22"/>
          <w:szCs w:val="22"/>
        </w:rPr>
        <w:t xml:space="preserve">Pipeline de prétraitement :</w:t>
      </w:r>
    </w:p>
    <w:p>
      <w:pPr>
        <w:pStyle w:val="ListParagraph"/>
        <w:numPr>
          <w:ilvl w:val="0"/>
          <w:numId w:val="2"/>
        </w:numPr>
        <w:spacing w:before="60" w:after="60"/>
      </w:pPr>
      <w:r>
        <w:rPr>
          <w:rFonts w:ascii="Arial" w:cs="Arial" w:eastAsia="Arial" w:hAnsi="Arial"/>
          <w:sz w:val="22"/>
          <w:szCs w:val="22"/>
        </w:rPr>
        <w:t xml:space="preserve">Variables numériques : imputation médiane (207 valeurs manquantes dans total_bedrooms) + StandardScaler</w:t>
      </w:r>
    </w:p>
    <w:p>
      <w:pPr>
        <w:pStyle w:val="ListParagraph"/>
        <w:numPr>
          <w:ilvl w:val="0"/>
          <w:numId w:val="2"/>
        </w:numPr>
        <w:spacing w:before="60" w:after="60"/>
      </w:pPr>
      <w:r>
        <w:rPr>
          <w:rFonts w:ascii="Arial" w:cs="Arial" w:eastAsia="Arial" w:hAnsi="Arial"/>
          <w:sz w:val="22"/>
          <w:szCs w:val="22"/>
        </w:rPr>
        <w:t xml:space="preserve">Variable catégorielle ocean_proximity : encodage ordinal (OrdinalEncoder)</w:t>
      </w:r>
    </w:p>
    <w:p>
      <w:pPr>
        <w:pStyle w:val="ListParagraph"/>
        <w:numPr>
          <w:ilvl w:val="0"/>
          <w:numId w:val="2"/>
        </w:numPr>
        <w:spacing w:before="60" w:after="60"/>
      </w:pPr>
      <w:r>
        <w:rPr>
          <w:rFonts w:ascii="Arial" w:cs="Arial" w:eastAsia="Arial" w:hAnsi="Arial"/>
          <w:sz w:val="22"/>
          <w:szCs w:val="22"/>
        </w:rPr>
        <w:t xml:space="preserve">Séparation 80/20 : 16 512 instances d'entraînement, 4 128 de test</w:t>
      </w:r>
    </w:p>
    <w:p>
      <w:pPr>
        <w:pStyle w:val="Heading2"/>
      </w:pPr>
      <w:r>
        <w:rPr>
          <w:rFonts w:ascii="Arial" w:cs="Arial" w:eastAsia="Arial" w:hAnsi="Arial"/>
          <w:b/>
          <w:bCs/>
          <w:color w:val="2E75B6"/>
          <w:sz w:val="26"/>
          <w:szCs w:val="26"/>
        </w:rPr>
        <w:t xml:space="preserve">1.5 Modèle de base – Régression Linéaire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Métrique</w:t>
            </w:r>
          </w:p>
        </w:tc>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w:t>
            </w:r>
          </w:p>
        </w:tc>
      </w:tr>
      <w:tr>
        <w:tc>
          <w:tcPr>
            <w:tcW w:type="dxa" w:w="4680"/>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left"/>
            </w:pPr>
            <w:r>
              <w:rPr>
                <w:rFonts w:ascii="Arial" w:cs="Arial" w:eastAsia="Arial" w:hAnsi="Arial"/>
                <w:b/>
                <w:bCs/>
                <w:sz w:val="20"/>
                <w:szCs w:val="20"/>
              </w:rPr>
              <w:t xml:space="preserve">RMSE</w:t>
            </w:r>
          </w:p>
        </w:tc>
        <w:tc>
          <w:tcPr>
            <w:tcW w:type="dxa" w:w="4680"/>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70 474 $</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MAE</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51 640 $</w:t>
            </w:r>
          </w:p>
        </w:tc>
      </w:tr>
      <w:tr>
        <w:tc>
          <w:tcPr>
            <w:tcW w:type="dxa" w:w="4680"/>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left"/>
            </w:pPr>
            <w:r>
              <w:rPr>
                <w:rFonts w:ascii="Arial" w:cs="Arial" w:eastAsia="Arial" w:hAnsi="Arial"/>
                <w:b/>
                <w:bCs/>
                <w:sz w:val="20"/>
                <w:szCs w:val="20"/>
              </w:rPr>
              <w:t xml:space="preserve">R²</w:t>
            </w:r>
          </w:p>
        </w:tc>
        <w:tc>
          <w:tcPr>
            <w:tcW w:type="dxa" w:w="4680"/>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0.6417</w:t>
            </w:r>
          </w:p>
        </w:tc>
      </w:tr>
    </w:tbl>
    <w:p>
      <w:r>
        <w:t xml:space="preserve"/>
      </w:r>
    </w:p>
    <w:p>
      <w:pPr>
        <w:pBdr>
          <w:left w:val="thick" w:color="2E75B6" w:sz="12"/>
        </w:pBdr>
        <w:shd w:fill="EBF5FB" w:val="clear"/>
        <w:spacing w:before="120" w:after="120"/>
        <w:ind w:left="360"/>
      </w:pPr>
      <w:r>
        <w:rPr>
          <w:rFonts w:ascii="Arial" w:cs="Arial" w:eastAsia="Arial" w:hAnsi="Arial"/>
          <w:sz w:val="22"/>
          <w:szCs w:val="22"/>
        </w:rPr>
        <w:t xml:space="preserve">La régression linéaire explique 64.2% de la variance. L'erreur moyenne est d'environ 51 600 $, ce qui est significatif. Ce résultat servira de baseline pour comparer les méthodes ensemblistes.</w:t>
      </w:r>
    </w:p>
    <w:p>
      <w:r>
        <w:br w:type="page"/>
      </w:r>
    </w:p>
    <w:p>
      <w:pPr>
        <w:pStyle w:val="Heading1"/>
      </w:pPr>
      <w:r>
        <w:rPr>
          <w:rFonts w:ascii="Arial" w:cs="Arial" w:eastAsia="Arial" w:hAnsi="Arial"/>
          <w:b/>
          <w:bCs/>
          <w:color w:val="1F3864"/>
          <w:sz w:val="32"/>
          <w:szCs w:val="32"/>
        </w:rPr>
        <w:t xml:space="preserve">Partie 2 – Apprentissage Ensembliste</w:t>
      </w:r>
    </w:p>
    <w:p>
      <w:pPr>
        <w:pStyle w:val="Heading2"/>
      </w:pPr>
      <w:r>
        <w:rPr>
          <w:rFonts w:ascii="Arial" w:cs="Arial" w:eastAsia="Arial" w:hAnsi="Arial"/>
          <w:b/>
          <w:bCs/>
          <w:color w:val="2E75B6"/>
          <w:sz w:val="26"/>
          <w:szCs w:val="26"/>
        </w:rPr>
        <w:t xml:space="preserve">2.1 Les trois techniques ensemblistes</w:t>
      </w:r>
    </w:p>
    <w:p>
      <w:pPr>
        <w:pStyle w:val="Heading3"/>
      </w:pPr>
      <w:r>
        <w:rPr>
          <w:rFonts w:ascii="Arial" w:cs="Arial" w:eastAsia="Arial" w:hAnsi="Arial"/>
          <w:b/>
          <w:bCs/>
          <w:color w:val="404040"/>
          <w:sz w:val="22"/>
          <w:szCs w:val="22"/>
        </w:rPr>
        <w:t xml:space="preserve">Bagging (Bootstrap AGGregatING)</w:t>
      </w:r>
    </w:p>
    <w:p>
      <w:pPr>
        <w:spacing w:before="100" w:after="100"/>
      </w:pPr>
      <w:r>
        <w:rPr>
          <w:rFonts w:ascii="Arial" w:cs="Arial" w:eastAsia="Arial" w:hAnsi="Arial"/>
          <w:sz w:val="22"/>
          <w:szCs w:val="22"/>
        </w:rPr>
        <w:t xml:space="preserve">Principe : entraîner plusieurs modèles (souvent arbres de décision) sur des sous-échantillons aléatoires du dataset, puis moyenner leurs prédictions.</w:t>
      </w:r>
    </w:p>
    <w:p>
      <w:pPr>
        <w:pStyle w:val="ListParagraph"/>
        <w:numPr>
          <w:ilvl w:val="0"/>
          <w:numId w:val="2"/>
        </w:numPr>
        <w:spacing w:before="60" w:after="60"/>
      </w:pPr>
      <w:r>
        <w:rPr>
          <w:rFonts w:ascii="Arial" w:cs="Arial" w:eastAsia="Arial" w:hAnsi="Arial"/>
          <w:sz w:val="22"/>
          <w:szCs w:val="22"/>
        </w:rPr>
        <w:t xml:space="preserve">Avantages : réduit la variance, parallélisable, robuste au surapprentissage</w:t>
      </w:r>
    </w:p>
    <w:p>
      <w:pPr>
        <w:pStyle w:val="ListParagraph"/>
        <w:numPr>
          <w:ilvl w:val="0"/>
          <w:numId w:val="2"/>
        </w:numPr>
        <w:spacing w:before="60" w:after="60"/>
      </w:pPr>
      <w:r>
        <w:rPr>
          <w:rFonts w:ascii="Arial" w:cs="Arial" w:eastAsia="Arial" w:hAnsi="Arial"/>
          <w:sz w:val="22"/>
          <w:szCs w:val="22"/>
        </w:rPr>
        <w:t xml:space="preserve">Inconvénients : moins efficace si les modèles de base sont biaisés, moins interprétable</w:t>
      </w:r>
    </w:p>
    <w:p>
      <w:pPr>
        <w:pStyle w:val="ListParagraph"/>
        <w:numPr>
          <w:ilvl w:val="0"/>
          <w:numId w:val="2"/>
        </w:numPr>
        <w:spacing w:before="60" w:after="60"/>
      </w:pPr>
      <w:r>
        <w:rPr>
          <w:rFonts w:ascii="Arial" w:cs="Arial" w:eastAsia="Arial" w:hAnsi="Arial"/>
          <w:sz w:val="22"/>
          <w:szCs w:val="22"/>
        </w:rPr>
        <w:t xml:space="preserve">Algorithmes : Random Forest, Extra Trees, BaggingRegressor</w:t>
      </w:r>
    </w:p>
    <w:p>
      <w:pPr>
        <w:pStyle w:val="Heading3"/>
      </w:pPr>
      <w:r>
        <w:rPr>
          <w:rFonts w:ascii="Arial" w:cs="Arial" w:eastAsia="Arial" w:hAnsi="Arial"/>
          <w:b/>
          <w:bCs/>
          <w:color w:val="404040"/>
          <w:sz w:val="22"/>
          <w:szCs w:val="22"/>
        </w:rPr>
        <w:t xml:space="preserve">Boosting</w:t>
      </w:r>
    </w:p>
    <w:p>
      <w:pPr>
        <w:spacing w:before="100" w:after="100"/>
      </w:pPr>
      <w:r>
        <w:rPr>
          <w:rFonts w:ascii="Arial" w:cs="Arial" w:eastAsia="Arial" w:hAnsi="Arial"/>
          <w:sz w:val="22"/>
          <w:szCs w:val="22"/>
        </w:rPr>
        <w:t xml:space="preserve">Principe : entraîner les modèles séquentiellement, chaque modèle cherchant à corriger les erreurs du précédent. Les prédictions sont combinées avec pondération.</w:t>
      </w:r>
    </w:p>
    <w:p>
      <w:pPr>
        <w:pStyle w:val="ListParagraph"/>
        <w:numPr>
          <w:ilvl w:val="0"/>
          <w:numId w:val="2"/>
        </w:numPr>
        <w:spacing w:before="60" w:after="60"/>
      </w:pPr>
      <w:r>
        <w:rPr>
          <w:rFonts w:ascii="Arial" w:cs="Arial" w:eastAsia="Arial" w:hAnsi="Arial"/>
          <w:sz w:val="22"/>
          <w:szCs w:val="22"/>
        </w:rPr>
        <w:t xml:space="preserve">Avantages : réduit le biais et la variance, très performant en pratique</w:t>
      </w:r>
    </w:p>
    <w:p>
      <w:pPr>
        <w:pStyle w:val="ListParagraph"/>
        <w:numPr>
          <w:ilvl w:val="0"/>
          <w:numId w:val="2"/>
        </w:numPr>
        <w:spacing w:before="60" w:after="60"/>
      </w:pPr>
      <w:r>
        <w:rPr>
          <w:rFonts w:ascii="Arial" w:cs="Arial" w:eastAsia="Arial" w:hAnsi="Arial"/>
          <w:sz w:val="22"/>
          <w:szCs w:val="22"/>
        </w:rPr>
        <w:t xml:space="preserve">Inconvénients : sensible aux outliers, risque de surapprentissage si trop d'estimateurs, non-parallélisable</w:t>
      </w:r>
    </w:p>
    <w:p>
      <w:pPr>
        <w:pStyle w:val="ListParagraph"/>
        <w:numPr>
          <w:ilvl w:val="0"/>
          <w:numId w:val="2"/>
        </w:numPr>
        <w:spacing w:before="60" w:after="60"/>
      </w:pPr>
      <w:r>
        <w:rPr>
          <w:rFonts w:ascii="Arial" w:cs="Arial" w:eastAsia="Arial" w:hAnsi="Arial"/>
          <w:sz w:val="22"/>
          <w:szCs w:val="22"/>
        </w:rPr>
        <w:t xml:space="preserve">Algorithmes : Gradient Boosting, AdaBoost, XGBoost, LightGBM</w:t>
      </w:r>
    </w:p>
    <w:p>
      <w:pPr>
        <w:pStyle w:val="Heading3"/>
      </w:pPr>
      <w:r>
        <w:rPr>
          <w:rFonts w:ascii="Arial" w:cs="Arial" w:eastAsia="Arial" w:hAnsi="Arial"/>
          <w:b/>
          <w:bCs/>
          <w:color w:val="404040"/>
          <w:sz w:val="22"/>
          <w:szCs w:val="22"/>
        </w:rPr>
        <w:t xml:space="preserve">Stacking (Stacked Generalization)</w:t>
      </w:r>
    </w:p>
    <w:p>
      <w:pPr>
        <w:spacing w:before="100" w:after="100"/>
      </w:pPr>
      <w:r>
        <w:rPr>
          <w:rFonts w:ascii="Arial" w:cs="Arial" w:eastAsia="Arial" w:hAnsi="Arial"/>
          <w:sz w:val="22"/>
          <w:szCs w:val="22"/>
        </w:rPr>
        <w:t xml:space="preserve">Principe : utiliser les prédictions de plusieurs modèles de niveau 0 comme features d'un méta-modèle (niveau 1) qui produit la prédiction finale.</w:t>
      </w:r>
    </w:p>
    <w:p>
      <w:pPr>
        <w:pStyle w:val="ListParagraph"/>
        <w:numPr>
          <w:ilvl w:val="0"/>
          <w:numId w:val="2"/>
        </w:numPr>
        <w:spacing w:before="60" w:after="60"/>
      </w:pPr>
      <w:r>
        <w:rPr>
          <w:rFonts w:ascii="Arial" w:cs="Arial" w:eastAsia="Arial" w:hAnsi="Arial"/>
          <w:sz w:val="22"/>
          <w:szCs w:val="22"/>
        </w:rPr>
        <w:t xml:space="preserve">Avantages : exploite la complémentarité des modèles, souvent plus performant</w:t>
      </w:r>
    </w:p>
    <w:p>
      <w:pPr>
        <w:pStyle w:val="ListParagraph"/>
        <w:numPr>
          <w:ilvl w:val="0"/>
          <w:numId w:val="2"/>
        </w:numPr>
        <w:spacing w:before="60" w:after="60"/>
      </w:pPr>
      <w:r>
        <w:rPr>
          <w:rFonts w:ascii="Arial" w:cs="Arial" w:eastAsia="Arial" w:hAnsi="Arial"/>
          <w:sz w:val="22"/>
          <w:szCs w:val="22"/>
        </w:rPr>
        <w:t xml:space="preserve">Inconvénients : complexe, plus lent à entraîner, risque de data leakage sans cross-validation</w:t>
      </w:r>
    </w:p>
    <w:p>
      <w:pPr>
        <w:pStyle w:val="ListParagraph"/>
        <w:numPr>
          <w:ilvl w:val="0"/>
          <w:numId w:val="2"/>
        </w:numPr>
        <w:spacing w:before="60" w:after="60"/>
      </w:pPr>
      <w:r>
        <w:rPr>
          <w:rFonts w:ascii="Arial" w:cs="Arial" w:eastAsia="Arial" w:hAnsi="Arial"/>
          <w:sz w:val="22"/>
          <w:szCs w:val="22"/>
        </w:rPr>
        <w:t xml:space="preserve">Configuration utilisée : LR + DecisionTree + RandomForest → Ridge (méta-modèle)</w:t>
      </w:r>
    </w:p>
    <w:p>
      <w:pPr>
        <w:pStyle w:val="Heading2"/>
      </w:pPr>
      <w:r>
        <w:rPr>
          <w:rFonts w:ascii="Arial" w:cs="Arial" w:eastAsia="Arial" w:hAnsi="Arial"/>
          <w:b/>
          <w:bCs/>
          <w:color w:val="2E75B6"/>
          <w:sz w:val="26"/>
          <w:szCs w:val="26"/>
        </w:rPr>
        <w:t xml:space="preserve">2.2 Résultats des modèles ensemblistes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Modèle</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Technique</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RMSE ($)</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 ($)</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R²</w:t>
            </w:r>
          </w:p>
        </w:tc>
      </w:tr>
      <w:tr>
        <w:tc>
          <w:tcPr>
            <w:tcW w:type="dxa" w:w="1872"/>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left"/>
            </w:pPr>
            <w:r>
              <w:rPr>
                <w:rFonts w:ascii="Arial" w:cs="Arial" w:eastAsia="Arial" w:hAnsi="Arial"/>
                <w:b/>
                <w:bCs/>
                <w:sz w:val="20"/>
                <w:szCs w:val="20"/>
              </w:rPr>
              <w:t xml:space="preserve">Gradient Boosting</w:t>
            </w:r>
          </w:p>
        </w:tc>
        <w:tc>
          <w:tcPr>
            <w:tcW w:type="dxa" w:w="1872"/>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Boosting</w:t>
            </w:r>
          </w:p>
        </w:tc>
        <w:tc>
          <w:tcPr>
            <w:tcW w:type="dxa" w:w="1872"/>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50 275</w:t>
            </w:r>
          </w:p>
        </w:tc>
        <w:tc>
          <w:tcPr>
            <w:tcW w:type="dxa" w:w="1872"/>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34 083</w:t>
            </w:r>
          </w:p>
        </w:tc>
        <w:tc>
          <w:tcPr>
            <w:tcW w:type="dxa" w:w="1872"/>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0.8177</w:t>
            </w:r>
          </w:p>
        </w:tc>
      </w:tr>
      <w:tr>
        <w:tc>
          <w:tcPr>
            <w:tcW w:type="dxa" w:w="187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Stacking (LR+DT+RF → Ridge)</w:t>
            </w:r>
          </w:p>
        </w:tc>
        <w:tc>
          <w:tcPr>
            <w:tcW w:type="dxa" w:w="187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Stacking</w:t>
            </w:r>
          </w:p>
        </w:tc>
        <w:tc>
          <w:tcPr>
            <w:tcW w:type="dxa" w:w="187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50 333</w:t>
            </w:r>
          </w:p>
        </w:tc>
        <w:tc>
          <w:tcPr>
            <w:tcW w:type="dxa" w:w="187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32 386</w:t>
            </w:r>
          </w:p>
        </w:tc>
        <w:tc>
          <w:tcPr>
            <w:tcW w:type="dxa" w:w="187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0.8173</w:t>
            </w:r>
          </w:p>
        </w:tc>
      </w:tr>
      <w:tr>
        <w:tc>
          <w:tcPr>
            <w:tcW w:type="dxa" w:w="1872"/>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left"/>
            </w:pPr>
            <w:r>
              <w:rPr>
                <w:rFonts w:ascii="Arial" w:cs="Arial" w:eastAsia="Arial" w:hAnsi="Arial"/>
                <w:b/>
                <w:bCs/>
                <w:sz w:val="20"/>
                <w:szCs w:val="20"/>
              </w:rPr>
              <w:t xml:space="preserve">Random Forest</w:t>
            </w:r>
          </w:p>
        </w:tc>
        <w:tc>
          <w:tcPr>
            <w:tcW w:type="dxa" w:w="1872"/>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Bagging</w:t>
            </w:r>
          </w:p>
        </w:tc>
        <w:tc>
          <w:tcPr>
            <w:tcW w:type="dxa" w:w="1872"/>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50 354</w:t>
            </w:r>
          </w:p>
        </w:tc>
        <w:tc>
          <w:tcPr>
            <w:tcW w:type="dxa" w:w="1872"/>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32 433</w:t>
            </w:r>
          </w:p>
        </w:tc>
        <w:tc>
          <w:tcPr>
            <w:tcW w:type="dxa" w:w="1872"/>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0.8171</w:t>
            </w:r>
          </w:p>
        </w:tc>
      </w:tr>
      <w:tr>
        <w:tc>
          <w:tcPr>
            <w:tcW w:type="dxa" w:w="187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Bagging (Decision Tree)</w:t>
            </w:r>
          </w:p>
        </w:tc>
        <w:tc>
          <w:tcPr>
            <w:tcW w:type="dxa" w:w="187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Bagging</w:t>
            </w:r>
          </w:p>
        </w:tc>
        <w:tc>
          <w:tcPr>
            <w:tcW w:type="dxa" w:w="187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50 364</w:t>
            </w:r>
          </w:p>
        </w:tc>
        <w:tc>
          <w:tcPr>
            <w:tcW w:type="dxa" w:w="187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32 512</w:t>
            </w:r>
          </w:p>
        </w:tc>
        <w:tc>
          <w:tcPr>
            <w:tcW w:type="dxa" w:w="187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0.8170</w:t>
            </w:r>
          </w:p>
        </w:tc>
      </w:tr>
      <w:tr>
        <w:tc>
          <w:tcPr>
            <w:tcW w:type="dxa" w:w="1872"/>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left"/>
            </w:pPr>
            <w:r>
              <w:rPr>
                <w:rFonts w:ascii="Arial" w:cs="Arial" w:eastAsia="Arial" w:hAnsi="Arial"/>
                <w:b/>
                <w:bCs/>
                <w:sz w:val="20"/>
                <w:szCs w:val="20"/>
              </w:rPr>
              <w:t xml:space="preserve">Extra Trees</w:t>
            </w:r>
          </w:p>
        </w:tc>
        <w:tc>
          <w:tcPr>
            <w:tcW w:type="dxa" w:w="1872"/>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Bagging</w:t>
            </w:r>
          </w:p>
        </w:tc>
        <w:tc>
          <w:tcPr>
            <w:tcW w:type="dxa" w:w="1872"/>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52 148</w:t>
            </w:r>
          </w:p>
        </w:tc>
        <w:tc>
          <w:tcPr>
            <w:tcW w:type="dxa" w:w="1872"/>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34 345</w:t>
            </w:r>
          </w:p>
        </w:tc>
        <w:tc>
          <w:tcPr>
            <w:tcW w:type="dxa" w:w="1872"/>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0.8038</w:t>
            </w:r>
          </w:p>
        </w:tc>
      </w:tr>
      <w:tr>
        <w:tc>
          <w:tcPr>
            <w:tcW w:type="dxa" w:w="187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AdaBoost</w:t>
            </w:r>
          </w:p>
        </w:tc>
        <w:tc>
          <w:tcPr>
            <w:tcW w:type="dxa" w:w="187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Boosting</w:t>
            </w:r>
          </w:p>
        </w:tc>
        <w:tc>
          <w:tcPr>
            <w:tcW w:type="dxa" w:w="187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96 480</w:t>
            </w:r>
          </w:p>
        </w:tc>
        <w:tc>
          <w:tcPr>
            <w:tcW w:type="dxa" w:w="187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85 068</w:t>
            </w:r>
          </w:p>
        </w:tc>
        <w:tc>
          <w:tcPr>
            <w:tcW w:type="dxa" w:w="187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0.3285</w:t>
            </w:r>
          </w:p>
        </w:tc>
      </w:tr>
      <w:tr>
        <w:tc>
          <w:tcPr>
            <w:tcW w:type="dxa" w:w="1872"/>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left"/>
            </w:pPr>
            <w:r>
              <w:rPr>
                <w:rFonts w:ascii="Arial" w:cs="Arial" w:eastAsia="Arial" w:hAnsi="Arial"/>
                <w:b/>
                <w:bCs/>
                <w:sz w:val="20"/>
                <w:szCs w:val="20"/>
              </w:rPr>
              <w:t xml:space="preserve">Régression Linéaire (base)</w:t>
            </w:r>
          </w:p>
        </w:tc>
        <w:tc>
          <w:tcPr>
            <w:tcW w:type="dxa" w:w="1872"/>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Baseline</w:t>
            </w:r>
          </w:p>
        </w:tc>
        <w:tc>
          <w:tcPr>
            <w:tcW w:type="dxa" w:w="1872"/>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70 474</w:t>
            </w:r>
          </w:p>
        </w:tc>
        <w:tc>
          <w:tcPr>
            <w:tcW w:type="dxa" w:w="1872"/>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51 640</w:t>
            </w:r>
          </w:p>
        </w:tc>
        <w:tc>
          <w:tcPr>
            <w:tcW w:type="dxa" w:w="1872"/>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0.6417</w:t>
            </w:r>
          </w:p>
        </w:tc>
      </w:tr>
    </w:tbl>
    <w:p>
      <w:r>
        <w:t xml:space="preserve"/>
      </w:r>
    </w:p>
    <w:p>
      <w:pPr>
        <w:spacing w:before="160" w:after="8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857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3 – Comparaison des performances des modèles (RMSE, MAE, R²)</w:t>
      </w:r>
    </w:p>
    <w:p>
      <w:pPr>
        <w:pStyle w:val="Heading2"/>
      </w:pPr>
      <w:r>
        <w:rPr>
          <w:rFonts w:ascii="Arial" w:cs="Arial" w:eastAsia="Arial" w:hAnsi="Arial"/>
          <w:b/>
          <w:bCs/>
          <w:color w:val="2E75B6"/>
          <w:sz w:val="26"/>
          <w:szCs w:val="26"/>
        </w:rPr>
        <w:t xml:space="preserve">2.3 Importance des variables</w:t>
      </w:r>
    </w:p>
    <w:p>
      <w:pPr>
        <w:spacing w:before="160" w:after="80"/>
        <w:jc w:val="center"/>
      </w:pPr>
      <w:r>
        <w:drawing>
          <wp:inline distT="0" distB="0" distL="0" distR="0">
            <wp:extent cx="4381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6670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4 – Importance des variables selon le Random Forest</w:t>
      </w:r>
    </w:p>
    <w:p>
      <w:pPr>
        <w:spacing w:before="100" w:after="100"/>
      </w:pPr>
      <w:r>
        <w:rPr>
          <w:rFonts w:ascii="Arial" w:cs="Arial" w:eastAsia="Arial" w:hAnsi="Arial"/>
          <w:sz w:val="22"/>
          <w:szCs w:val="22"/>
        </w:rPr>
        <w:t xml:space="preserve">La variable median_income est de loin la plus importante (confirme la corrélation de Pearson). La latitude et longitude viennent ensuite, reflétant l'effet géographique. L'âge médian et le nombre de pièces ont une importance moindre.</w:t>
      </w:r>
    </w:p>
    <w:p>
      <w:pPr>
        <w:pStyle w:val="Heading2"/>
      </w:pPr>
      <w:r>
        <w:rPr>
          <w:rFonts w:ascii="Arial" w:cs="Arial" w:eastAsia="Arial" w:hAnsi="Arial"/>
          <w:b/>
          <w:bCs/>
          <w:color w:val="2E75B6"/>
          <w:sz w:val="26"/>
          <w:szCs w:val="26"/>
        </w:rPr>
        <w:t xml:space="preserve">2.4 Analyse comparative</w:t>
      </w:r>
    </w:p>
    <w:p>
      <w:pPr>
        <w:pBdr>
          <w:left w:val="thick" w:color="2E75B6" w:sz="12"/>
        </w:pBdr>
        <w:shd w:fill="EBF5FB" w:val="clear"/>
        <w:spacing w:before="120" w:after="120"/>
        <w:ind w:left="360"/>
      </w:pPr>
      <w:r>
        <w:rPr>
          <w:rFonts w:ascii="Arial" w:cs="Arial" w:eastAsia="Arial" w:hAnsi="Arial"/>
          <w:sz w:val="22"/>
          <w:szCs w:val="22"/>
        </w:rPr>
        <w:t xml:space="preserve">Les méthodes ensemblistes améliorent significativement le baseline : réduction du RMSE de ~28% (70 474 → 50 275$) et du R² de 0.64 → 0.82.</w:t>
      </w:r>
    </w:p>
    <w:p>
      <w:pPr>
        <w:spacing w:before="100" w:after="100"/>
      </w:pPr>
      <w:r>
        <w:rPr>
          <w:rFonts w:ascii="Arial" w:cs="Arial" w:eastAsia="Arial" w:hAnsi="Arial"/>
          <w:sz w:val="22"/>
          <w:szCs w:val="22"/>
        </w:rPr>
        <w:t xml:space="preserve">Gradient Boosting obtient le meilleur RMSE (50 275$). Le Stacking affiche le meilleur MAE (32 386$), suggérant moins d'erreurs extrêmes. Random Forest et Bagging DT sont très proches.</w:t>
      </w:r>
    </w:p>
    <w:p>
      <w:pPr>
        <w:spacing w:before="100" w:after="100"/>
      </w:pPr>
      <w:r>
        <w:rPr>
          <w:rFonts w:ascii="Arial" w:cs="Arial" w:eastAsia="Arial" w:hAnsi="Arial"/>
          <w:sz w:val="22"/>
          <w:szCs w:val="22"/>
        </w:rPr>
        <w:t xml:space="preserve">AdaBoost performe mal (RMSE = 96 480$, R² = 0.33) car il est sensible aux valeurs aberrantes présentes dans ce dataset, et les arbres profonds utilisés n'en font pas un weak learner optimal.</w:t>
      </w:r>
    </w:p>
    <w:p>
      <w:pPr>
        <w:spacing w:before="100" w:after="100"/>
      </w:pPr>
      <w:r>
        <w:rPr>
          <w:rFonts w:ascii="Arial" w:cs="Arial" w:eastAsia="Arial" w:hAnsi="Arial"/>
          <w:sz w:val="22"/>
          <w:szCs w:val="22"/>
        </w:rPr>
        <w:t xml:space="preserve">Le Stacking démontre que combiner des modèles hétérogènes (LR linéaire + DT non-linéaire + RF ensembliste) avec un méta-modèle permet de capturer des patterns complémentaires.</w:t>
      </w:r>
    </w:p>
    <w:p>
      <w:r>
        <w:br w:type="page"/>
      </w:r>
    </w:p>
    <w:p>
      <w:pPr>
        <w:pStyle w:val="Heading1"/>
      </w:pPr>
      <w:r>
        <w:rPr>
          <w:rFonts w:ascii="Arial" w:cs="Arial" w:eastAsia="Arial" w:hAnsi="Arial"/>
          <w:b/>
          <w:bCs/>
          <w:color w:val="1F3864"/>
          <w:sz w:val="32"/>
          <w:szCs w:val="32"/>
        </w:rPr>
        <w:t xml:space="preserve">Bonus – Réduction Dimensionnelle (ACP / PCA)</w:t>
      </w:r>
    </w:p>
    <w:p>
      <w:pPr>
        <w:pStyle w:val="Heading2"/>
      </w:pPr>
      <w:r>
        <w:rPr>
          <w:rFonts w:ascii="Arial" w:cs="Arial" w:eastAsia="Arial" w:hAnsi="Arial"/>
          <w:b/>
          <w:bCs/>
          <w:color w:val="2E75B6"/>
          <w:sz w:val="26"/>
          <w:szCs w:val="26"/>
        </w:rPr>
        <w:t xml:space="preserve">3.1 Analyse en Composantes Principales</w:t>
      </w:r>
    </w:p>
    <w:p>
      <w:pPr>
        <w:spacing w:before="160" w:after="80"/>
        <w:jc w:val="center"/>
      </w:pPr>
      <w:r>
        <w:drawing>
          <wp:inline distT="0" distB="0" distL="0" distR="0">
            <wp:extent cx="5143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476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5 – Variance expliquée par les composantes principales</w:t>
      </w:r>
    </w:p>
    <w:p>
      <w:pPr>
        <w:spacing w:before="100" w:after="100"/>
      </w:pPr>
      <w:r>
        <w:rPr>
          <w:rFonts w:ascii="Arial" w:cs="Arial" w:eastAsia="Arial" w:hAnsi="Arial"/>
          <w:sz w:val="22"/>
          <w:szCs w:val="22"/>
        </w:rPr>
        <w:t xml:space="preserve">L'ACP révèle que 5 composantes principales sur 9 suffisent à expliquer 95% de la variance du dataset. Cela représente une réduction de 44% du nombre de dimensions (9 →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Nb composantes</w:t>
            </w:r>
          </w:p>
        </w:tc>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Variance expliquée cumulée</w:t>
            </w:r>
          </w:p>
        </w:tc>
      </w:tr>
      <w:tr>
        <w:tc>
          <w:tcPr>
            <w:tcW w:type="dxa" w:w="4680"/>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left"/>
            </w:pPr>
            <w:r>
              <w:rPr>
                <w:rFonts w:ascii="Arial" w:cs="Arial" w:eastAsia="Arial" w:hAnsi="Arial"/>
                <w:b/>
                <w:bCs/>
                <w:sz w:val="20"/>
                <w:szCs w:val="20"/>
              </w:rPr>
              <w:t xml:space="preserve">1</w:t>
            </w:r>
          </w:p>
        </w:tc>
        <w:tc>
          <w:tcPr>
            <w:tcW w:type="dxa" w:w="4680"/>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~38%</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2</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~58%</w:t>
            </w:r>
          </w:p>
        </w:tc>
      </w:tr>
      <w:tr>
        <w:tc>
          <w:tcPr>
            <w:tcW w:type="dxa" w:w="4680"/>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left"/>
            </w:pPr>
            <w:r>
              <w:rPr>
                <w:rFonts w:ascii="Arial" w:cs="Arial" w:eastAsia="Arial" w:hAnsi="Arial"/>
                <w:b/>
                <w:bCs/>
                <w:sz w:val="20"/>
                <w:szCs w:val="20"/>
              </w:rPr>
              <w:t xml:space="preserve">3</w:t>
            </w:r>
          </w:p>
        </w:tc>
        <w:tc>
          <w:tcPr>
            <w:tcW w:type="dxa" w:w="4680"/>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~73%</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5</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 95%</w:t>
            </w:r>
          </w:p>
        </w:tc>
      </w:tr>
      <w:tr>
        <w:tc>
          <w:tcPr>
            <w:tcW w:type="dxa" w:w="4680"/>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left"/>
            </w:pPr>
            <w:r>
              <w:rPr>
                <w:rFonts w:ascii="Arial" w:cs="Arial" w:eastAsia="Arial" w:hAnsi="Arial"/>
                <w:b/>
                <w:bCs/>
                <w:sz w:val="20"/>
                <w:szCs w:val="20"/>
              </w:rPr>
              <w:t xml:space="preserve">9 (toutes)</w:t>
            </w:r>
          </w:p>
        </w:tc>
        <w:tc>
          <w:tcPr>
            <w:tcW w:type="dxa" w:w="4680"/>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100%</w:t>
            </w:r>
          </w:p>
        </w:tc>
      </w:tr>
    </w:tbl>
    <w:p>
      <w:pPr>
        <w:pStyle w:val="Heading2"/>
      </w:pPr>
      <w:r>
        <w:rPr>
          <w:rFonts w:ascii="Arial" w:cs="Arial" w:eastAsia="Arial" w:hAnsi="Arial"/>
          <w:b/>
          <w:bCs/>
          <w:color w:val="2E75B6"/>
          <w:sz w:val="26"/>
          <w:szCs w:val="26"/>
        </w:rPr>
        <w:t xml:space="preserve">3.2 Impact de l'ACP sur les performances</w:t>
      </w:r>
    </w:p>
    <w:p>
      <w:pPr>
        <w:spacing w:before="160" w:after="8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57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6 – Comparaison des performances avec et sans PCA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Modèle</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RMSE sans PCA</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RMSE avec PCA</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R² sans PCA</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R² avec PCA</w:t>
            </w:r>
          </w:p>
        </w:tc>
      </w:tr>
      <w:tr>
        <w:tc>
          <w:tcPr>
            <w:tcW w:type="dxa" w:w="1872"/>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left"/>
            </w:pPr>
            <w:r>
              <w:rPr>
                <w:rFonts w:ascii="Arial" w:cs="Arial" w:eastAsia="Arial" w:hAnsi="Arial"/>
                <w:b/>
                <w:bCs/>
                <w:sz w:val="20"/>
                <w:szCs w:val="20"/>
              </w:rPr>
              <w:t xml:space="preserve">Régression Linéaire</w:t>
            </w:r>
          </w:p>
        </w:tc>
        <w:tc>
          <w:tcPr>
            <w:tcW w:type="dxa" w:w="1872"/>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70 474$</w:t>
            </w:r>
          </w:p>
        </w:tc>
        <w:tc>
          <w:tcPr>
            <w:tcW w:type="dxa" w:w="1872"/>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80 340$</w:t>
            </w:r>
          </w:p>
        </w:tc>
        <w:tc>
          <w:tcPr>
            <w:tcW w:type="dxa" w:w="1872"/>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0.642</w:t>
            </w:r>
          </w:p>
        </w:tc>
        <w:tc>
          <w:tcPr>
            <w:tcW w:type="dxa" w:w="1872"/>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0.534</w:t>
            </w:r>
          </w:p>
        </w:tc>
      </w:tr>
      <w:tr>
        <w:tc>
          <w:tcPr>
            <w:tcW w:type="dxa" w:w="187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Random Forest</w:t>
            </w:r>
          </w:p>
        </w:tc>
        <w:tc>
          <w:tcPr>
            <w:tcW w:type="dxa" w:w="187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50 354$</w:t>
            </w:r>
          </w:p>
        </w:tc>
        <w:tc>
          <w:tcPr>
            <w:tcW w:type="dxa" w:w="187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63 834$</w:t>
            </w:r>
          </w:p>
        </w:tc>
        <w:tc>
          <w:tcPr>
            <w:tcW w:type="dxa" w:w="187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0.817</w:t>
            </w:r>
          </w:p>
        </w:tc>
        <w:tc>
          <w:tcPr>
            <w:tcW w:type="dxa" w:w="187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0.706</w:t>
            </w:r>
          </w:p>
        </w:tc>
      </w:tr>
      <w:tr>
        <w:tc>
          <w:tcPr>
            <w:tcW w:type="dxa" w:w="1872"/>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left"/>
            </w:pPr>
            <w:r>
              <w:rPr>
                <w:rFonts w:ascii="Arial" w:cs="Arial" w:eastAsia="Arial" w:hAnsi="Arial"/>
                <w:b/>
                <w:bCs/>
                <w:sz w:val="20"/>
                <w:szCs w:val="20"/>
              </w:rPr>
              <w:t xml:space="preserve">Gradient Boosting</w:t>
            </w:r>
          </w:p>
        </w:tc>
        <w:tc>
          <w:tcPr>
            <w:tcW w:type="dxa" w:w="1872"/>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50 275$</w:t>
            </w:r>
          </w:p>
        </w:tc>
        <w:tc>
          <w:tcPr>
            <w:tcW w:type="dxa" w:w="1872"/>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65 697$</w:t>
            </w:r>
          </w:p>
        </w:tc>
        <w:tc>
          <w:tcPr>
            <w:tcW w:type="dxa" w:w="1872"/>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0.818</w:t>
            </w:r>
          </w:p>
        </w:tc>
        <w:tc>
          <w:tcPr>
            <w:tcW w:type="dxa" w:w="1872"/>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0.689</w:t>
            </w:r>
          </w:p>
        </w:tc>
      </w:tr>
      <w:tr>
        <w:tc>
          <w:tcPr>
            <w:tcW w:type="dxa" w:w="187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Stacking</w:t>
            </w:r>
          </w:p>
        </w:tc>
        <w:tc>
          <w:tcPr>
            <w:tcW w:type="dxa" w:w="187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50 333$</w:t>
            </w:r>
          </w:p>
        </w:tc>
        <w:tc>
          <w:tcPr>
            <w:tcW w:type="dxa" w:w="187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64 179$</w:t>
            </w:r>
          </w:p>
        </w:tc>
        <w:tc>
          <w:tcPr>
            <w:tcW w:type="dxa" w:w="187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0.817</w:t>
            </w:r>
          </w:p>
        </w:tc>
        <w:tc>
          <w:tcPr>
            <w:tcW w:type="dxa" w:w="187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0.703</w:t>
            </w:r>
          </w:p>
        </w:tc>
      </w:tr>
    </w:tbl>
    <w:p>
      <w:r>
        <w:t xml:space="preserve"/>
      </w:r>
    </w:p>
    <w:p>
      <w:pPr>
        <w:pStyle w:val="Heading2"/>
      </w:pPr>
      <w:r>
        <w:rPr>
          <w:rFonts w:ascii="Arial" w:cs="Arial" w:eastAsia="Arial" w:hAnsi="Arial"/>
          <w:b/>
          <w:bCs/>
          <w:color w:val="2E75B6"/>
          <w:sz w:val="26"/>
          <w:szCs w:val="26"/>
        </w:rPr>
        <w:t xml:space="preserve">3.3 Constats et interprétation</w:t>
      </w:r>
    </w:p>
    <w:p>
      <w:pPr>
        <w:pBdr>
          <w:left w:val="thick" w:color="2E75B6" w:sz="12"/>
        </w:pBdr>
        <w:shd w:fill="EBF5FB" w:val="clear"/>
        <w:spacing w:before="120" w:after="120"/>
        <w:ind w:left="360"/>
      </w:pPr>
      <w:r>
        <w:rPr>
          <w:rFonts w:ascii="Arial" w:cs="Arial" w:eastAsia="Arial" w:hAnsi="Arial"/>
          <w:sz w:val="22"/>
          <w:szCs w:val="22"/>
        </w:rPr>
        <w:t xml:space="preserve">Constat principal : l'ACP dégrade les performances pour tous les modèles dans ce cas d'usage.</w:t>
      </w:r>
    </w:p>
    <w:p>
      <w:pPr>
        <w:spacing w:before="100" w:after="100"/>
      </w:pPr>
      <w:r>
        <w:rPr>
          <w:rFonts w:ascii="Arial" w:cs="Arial" w:eastAsia="Arial" w:hAnsi="Arial"/>
          <w:sz w:val="22"/>
          <w:szCs w:val="22"/>
        </w:rPr>
        <w:t xml:space="preserve">La PCA entraîne une perte d'information pertinente malgré la conservation de 95% de la variance. En réduisant de 9 à 5 dimensions, on perd environ 5% de variance qui contient des signaux discriminants pour la prédiction.</w:t>
      </w:r>
    </w:p>
    <w:p>
      <w:pPr>
        <w:spacing w:before="100" w:after="100"/>
      </w:pPr>
      <w:r>
        <w:rPr>
          <w:rFonts w:ascii="Arial" w:cs="Arial" w:eastAsia="Arial" w:hAnsi="Arial"/>
          <w:sz w:val="22"/>
          <w:szCs w:val="22"/>
        </w:rPr>
        <w:t xml:space="preserve">La régression linéaire perd le plus en performance (R² : 0.64 → 0.53) car elle dépend directement des relations linéaires entre les features originales, qui sont perturbées par la transformation PCA.</w:t>
      </w:r>
    </w:p>
    <w:p>
      <w:pPr>
        <w:spacing w:before="100" w:after="100"/>
      </w:pPr>
      <w:r>
        <w:rPr>
          <w:rFonts w:ascii="Arial" w:cs="Arial" w:eastAsia="Arial" w:hAnsi="Arial"/>
          <w:sz w:val="22"/>
          <w:szCs w:val="22"/>
        </w:rPr>
        <w:t xml:space="preserve">Les modèles à base d'arbres (RF, GB, Stacking) résistent mieux à la PCA (R² passe de 0.82 à ~0.70) car ils créent des divisions non-linéaires, mais perdent tout de même la capacité à distinguer des variables importantes individuellement.</w:t>
      </w:r>
    </w:p>
    <w:p>
      <w:pPr>
        <w:spacing w:before="100" w:after="100"/>
      </w:pPr>
      <w:r>
        <w:rPr>
          <w:rFonts w:ascii="Arial" w:cs="Arial" w:eastAsia="Arial" w:hAnsi="Arial"/>
          <w:sz w:val="22"/>
          <w:szCs w:val="22"/>
        </w:rPr>
        <w:t xml:space="preserve">Dans ce contexte : la PCA est utile pour visualiser, réduire le temps de calcul ou traiter la malédiction de la dimensionnalité — mais elle n'est PAS recommandée ici car la réduction de 9→5 dimensions n'apporte pas de gain computationnel significatif, et les variables originales (surtout median_income, lat, long) ont une signification sémantique précieuse que la PCA noie.</w:t>
      </w:r>
    </w:p>
    <w:p>
      <w:r>
        <w:br w:type="page"/>
      </w:r>
    </w:p>
    <w:p>
      <w:pPr>
        <w:pStyle w:val="Heading1"/>
      </w:pPr>
      <w:r>
        <w:rPr>
          <w:rFonts w:ascii="Arial" w:cs="Arial" w:eastAsia="Arial" w:hAnsi="Arial"/>
          <w:b/>
          <w:bCs/>
          <w:color w:val="1F3864"/>
          <w:sz w:val="32"/>
          <w:szCs w:val="32"/>
        </w:rPr>
        <w:t xml:space="preserve">Conclusion</w:t>
      </w:r>
    </w:p>
    <w:p>
      <w:pPr>
        <w:spacing w:before="100" w:after="100"/>
      </w:pPr>
      <w:r>
        <w:rPr>
          <w:rFonts w:ascii="Arial" w:cs="Arial" w:eastAsia="Arial" w:hAnsi="Arial"/>
          <w:sz w:val="22"/>
          <w:szCs w:val="22"/>
        </w:rPr>
        <w:t xml:space="preserve">Ce projet a mis en œuvre un pipeline ML complet sur le dataset California Housing Prices, depuis l'exploration jusqu'à la comparaison de modèles avancés.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Étape</w:t>
            </w:r>
          </w:p>
        </w:tc>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Résultat clé</w:t>
            </w:r>
          </w:p>
        </w:tc>
      </w:tr>
      <w:tr>
        <w:tc>
          <w:tcPr>
            <w:tcW w:type="dxa" w:w="4680"/>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left"/>
            </w:pPr>
            <w:r>
              <w:rPr>
                <w:rFonts w:ascii="Arial" w:cs="Arial" w:eastAsia="Arial" w:hAnsi="Arial"/>
                <w:b/>
                <w:bCs/>
                <w:sz w:val="20"/>
                <w:szCs w:val="20"/>
              </w:rPr>
              <w:t xml:space="preserve">Exploration</w:t>
            </w:r>
          </w:p>
        </w:tc>
        <w:tc>
          <w:tcPr>
            <w:tcW w:type="dxa" w:w="4680"/>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median_income est la variable la plus corrélée (r=0.69)</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Prétraitement</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Imputation médiane + StandardScaler + OrdinalEncoder</w:t>
            </w:r>
          </w:p>
        </w:tc>
      </w:tr>
      <w:tr>
        <w:tc>
          <w:tcPr>
            <w:tcW w:type="dxa" w:w="4680"/>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left"/>
            </w:pPr>
            <w:r>
              <w:rPr>
                <w:rFonts w:ascii="Arial" w:cs="Arial" w:eastAsia="Arial" w:hAnsi="Arial"/>
                <w:b/>
                <w:bCs/>
                <w:sz w:val="20"/>
                <w:szCs w:val="20"/>
              </w:rPr>
              <w:t xml:space="preserve">Modèle baseline</w:t>
            </w:r>
          </w:p>
        </w:tc>
        <w:tc>
          <w:tcPr>
            <w:tcW w:type="dxa" w:w="4680"/>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Régression linéaire : R²=0.64, RMSE=70 474$</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Meilleur modèle</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Gradient Boosting : R²=0.82, RMSE=50 275$</w:t>
            </w:r>
          </w:p>
        </w:tc>
      </w:tr>
      <w:tr>
        <w:tc>
          <w:tcPr>
            <w:tcW w:type="dxa" w:w="4680"/>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left"/>
            </w:pPr>
            <w:r>
              <w:rPr>
                <w:rFonts w:ascii="Arial" w:cs="Arial" w:eastAsia="Arial" w:hAnsi="Arial"/>
                <w:b/>
                <w:bCs/>
                <w:sz w:val="20"/>
                <w:szCs w:val="20"/>
              </w:rPr>
              <w:t xml:space="preserve">Gain ensembliste</w:t>
            </w:r>
          </w:p>
        </w:tc>
        <w:tc>
          <w:tcPr>
            <w:tcW w:type="dxa" w:w="4680"/>
            <w:tcBorders>
              <w:top w:val="single" w:color="AAAAAA" w:sz="1"/>
              <w:left w:val="single" w:color="AAAAAA" w:sz="1"/>
              <w:bottom w:val="single" w:color="AAAAAA" w:sz="1"/>
              <w:right w:val="single" w:color="AAAAAA" w:sz="1"/>
            </w:tcBorders>
            <w:shd w:fill="F2F9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-28% de RMSE vs baseline</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Impact PCA</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Dégradation des performances : -13% de R² en moyenne</w:t>
            </w:r>
          </w:p>
        </w:tc>
      </w:tr>
    </w:tbl>
    <w:p>
      <w:r>
        <w:t xml:space="preserve"/>
      </w:r>
    </w:p>
    <w:p>
      <w:pPr>
        <w:spacing w:before="100" w:after="100"/>
      </w:pPr>
      <w:r>
        <w:rPr>
          <w:rFonts w:ascii="Arial" w:cs="Arial" w:eastAsia="Arial" w:hAnsi="Arial"/>
          <w:sz w:val="22"/>
          <w:szCs w:val="22"/>
        </w:rPr>
        <w:t xml:space="preserve">Le Gradient Boosting est le meilleur modèle individuel, et le Stacking démontre la valeur de combiner des approches complémentaires. L'ACP, bien qu'utile pour la visualisation, n'améliore pas les performances prédictives dans ce dataset bien structuré (peu de dimensions, variables métiers claires).</w:t>
      </w:r>
    </w:p>
    <w:p>
      <w:r>
        <w:t xml:space="preserve"/>
      </w:r>
    </w:p>
    <w:p>
      <w:r>
        <w:t xml:space="preserve"/>
      </w:r>
    </w:p>
    <w:p>
      <w:pPr>
        <w:pBdr>
          <w:top w:val="single" w:color="2E75B6" w:sz="4" w:space="6"/>
        </w:pBdr>
        <w:spacing w:before="300" w:after="60"/>
        <w:jc w:val="right"/>
      </w:pPr>
      <w:r>
        <w:rPr>
          <w:rFonts w:ascii="Arial" w:cs="Arial" w:eastAsia="Arial" w:hAnsi="Arial"/>
          <w:b/>
          <w:bCs/>
          <w:color w:val="1F3864"/>
          <w:sz w:val="22"/>
          <w:szCs w:val="22"/>
        </w:rPr>
        <w:t xml:space="preserve">Michée SOGBOSSI</w:t>
      </w:r>
    </w:p>
    <w:p>
      <w:pPr>
        <w:spacing w:before="0" w:after="60"/>
        <w:jc w:val="right"/>
      </w:pPr>
      <w:r>
        <w:rPr>
          <w:rFonts w:ascii="Arial" w:cs="Arial" w:eastAsia="Arial" w:hAnsi="Arial"/>
          <w:i/>
          <w:iCs/>
          <w:color w:val="666666"/>
          <w:sz w:val="20"/>
          <w:szCs w:val="20"/>
        </w:rPr>
        <w:t xml:space="preserve">M1 Intelligence Artificielle — Ynov Toulouse</w:t>
      </w:r>
    </w:p>
    <w:p>
      <w:pPr>
        <w:jc w:val="right"/>
      </w:pPr>
      <w:r>
        <w:rPr>
          <w:rFonts w:ascii="Arial" w:cs="Arial" w:eastAsia="Arial" w:hAnsi="Arial"/>
          <w:color w:val="666666"/>
          <w:sz w:val="20"/>
          <w:szCs w:val="20"/>
        </w:rPr>
        <w:t xml:space="preserve">2025 – 2026</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274908c3571d2699ccf43998936e66b45464579.png"/><Relationship Id="rId7" Type="http://schemas.openxmlformats.org/officeDocument/2006/relationships/image" Target="media/c6cbfff37979b0c8718635757487ff74c38ebc74.png"/><Relationship Id="rId8" Type="http://schemas.openxmlformats.org/officeDocument/2006/relationships/image" Target="media/b33fd22c3b46d2852cd42a4f85ff1693399a256d.png"/><Relationship Id="rId9" Type="http://schemas.openxmlformats.org/officeDocument/2006/relationships/image" Target="media/57965b88159196707dcff68c37f809190d055740.png"/><Relationship Id="rId10" Type="http://schemas.openxmlformats.org/officeDocument/2006/relationships/image" Target="media/516ae01aa8db59e641ca72092782c66f032ca970.png"/><Relationship Id="rId11" Type="http://schemas.openxmlformats.org/officeDocument/2006/relationships/image" Target="media/54d3e99c69b5f89451bac119c8f84acf8ff0fe4f.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2026-03-01T11:07:48.285Z</dcterms:created>
  <dcterms:modified xsi:type="dcterms:W3CDTF">2026-03-01T11:07:48.285Z</dcterms:modified>
</cp:coreProperties>
</file>

<file path=docProps/custom.xml><?xml version="1.0" encoding="utf-8"?>
<Properties xmlns="http://schemas.openxmlformats.org/officeDocument/2006/custom-properties" xmlns:vt="http://schemas.openxmlformats.org/officeDocument/2006/docPropsVTypes"/>
</file>