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240" w:lineRule="auto"/>
        <w:jc w:val="center"/>
        <w:rPr>
          <w:color w:val="2196f3"/>
          <w:sz w:val="18"/>
          <w:szCs w:val="18"/>
        </w:rPr>
      </w:pPr>
      <w:r w:rsidDel="00000000" w:rsidR="00000000" w:rsidRPr="00000000">
        <w:rPr>
          <w:rtl w:val="0"/>
        </w:rPr>
      </w:r>
    </w:p>
    <w:tbl>
      <w:tblPr>
        <w:tblStyle w:val="Table1"/>
        <w:tblW w:w="9645.0" w:type="dxa"/>
        <w:jc w:val="left"/>
        <w:tblBorders>
          <w:top w:color="ffffff" w:space="0" w:sz="12" w:val="single"/>
          <w:left w:color="ffffff" w:space="0" w:sz="12" w:val="single"/>
          <w:bottom w:color="705690" w:space="0" w:sz="12" w:val="single"/>
          <w:right w:color="ffffff" w:space="0" w:sz="12" w:val="single"/>
        </w:tblBorders>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shd w:fill="auto" w:val="clear"/>
            <w:tcMar>
              <w:top w:w="72.0" w:type="dxa"/>
              <w:left w:w="72.0" w:type="dxa"/>
              <w:bottom w:w="72.0" w:type="dxa"/>
              <w:right w:w="72.0" w:type="dxa"/>
            </w:tcMar>
          </w:tcPr>
          <w:p w:rsidR="00000000" w:rsidDel="00000000" w:rsidP="00000000" w:rsidRDefault="00000000" w:rsidRPr="00000000" w14:paraId="00000002">
            <w:pPr>
              <w:pStyle w:val="Heading1"/>
              <w:keepNext w:val="0"/>
              <w:keepLines w:val="0"/>
              <w:widowControl w:val="0"/>
              <w:spacing w:after="240" w:before="480" w:lineRule="auto"/>
              <w:jc w:val="center"/>
              <w:rPr>
                <w:b w:val="1"/>
                <w:color w:val="705690"/>
                <w:sz w:val="48"/>
                <w:szCs w:val="48"/>
              </w:rPr>
            </w:pPr>
            <w:r w:rsidDel="00000000" w:rsidR="00000000" w:rsidRPr="00000000">
              <w:rPr>
                <w:b w:val="1"/>
                <w:color w:val="705690"/>
                <w:sz w:val="48"/>
                <w:szCs w:val="48"/>
                <w:rtl w:val="0"/>
              </w:rPr>
              <w:t xml:space="preserve">Risk Management Plan</w:t>
            </w:r>
          </w:p>
          <w:p w:rsidR="00000000" w:rsidDel="00000000" w:rsidP="00000000" w:rsidRDefault="00000000" w:rsidRPr="00000000" w14:paraId="00000003">
            <w:pPr>
              <w:rPr/>
            </w:pPr>
            <w:r w:rsidDel="00000000" w:rsidR="00000000" w:rsidRPr="00000000">
              <w:rPr>
                <w:rtl w:val="0"/>
              </w:rPr>
            </w:r>
          </w:p>
        </w:tc>
        <w:tc>
          <w:tcPr>
            <w:shd w:fill="auto" w:val="clear"/>
            <w:tcMar>
              <w:top w:w="129.0" w:type="dxa"/>
              <w:left w:w="129.0" w:type="dxa"/>
              <w:bottom w:w="129.0" w:type="dxa"/>
              <w:right w:w="129.0" w:type="dxa"/>
            </w:tcMar>
          </w:tcPr>
          <w:p w:rsidR="00000000" w:rsidDel="00000000" w:rsidP="00000000" w:rsidRDefault="00000000" w:rsidRPr="00000000" w14:paraId="00000005">
            <w:pPr>
              <w:spacing w:after="200" w:line="240" w:lineRule="auto"/>
              <w:ind w:right="-4425"/>
              <w:rPr>
                <w:color w:val="000000"/>
                <w:sz w:val="18"/>
                <w:szCs w:val="18"/>
              </w:rPr>
            </w:pPr>
            <w:r w:rsidDel="00000000" w:rsidR="00000000" w:rsidRPr="00000000">
              <w:rPr>
                <w:rtl w:val="0"/>
              </w:rPr>
            </w:r>
          </w:p>
        </w:tc>
      </w:tr>
      <w:tr>
        <w:trPr>
          <w:cantSplit w:val="0"/>
          <w:trHeight w:val="540" w:hRule="atLeast"/>
          <w:tblHeader w:val="0"/>
        </w:trPr>
        <w:tc>
          <w:tcPr>
            <w:shd w:fill="auto" w:val="clear"/>
            <w:tcMar>
              <w:top w:w="72.0" w:type="dxa"/>
              <w:left w:w="72.0" w:type="dxa"/>
              <w:bottom w:w="72.0" w:type="dxa"/>
              <w:right w:w="72.0" w:type="dxa"/>
            </w:tcMar>
          </w:tcPr>
          <w:p w:rsidR="00000000" w:rsidDel="00000000" w:rsidP="00000000" w:rsidRDefault="00000000" w:rsidRPr="00000000" w14:paraId="00000006">
            <w:pPr>
              <w:spacing w:line="240" w:lineRule="auto"/>
              <w:rPr>
                <w:color w:val="000000"/>
                <w:sz w:val="24"/>
                <w:szCs w:val="24"/>
              </w:rPr>
            </w:pPr>
            <w:r w:rsidDel="00000000" w:rsidR="00000000" w:rsidRPr="00000000">
              <w:rPr>
                <w:b w:val="1"/>
                <w:color w:val="000000"/>
                <w:sz w:val="24"/>
                <w:szCs w:val="24"/>
                <w:rtl w:val="0"/>
              </w:rPr>
              <w:t xml:space="preserve">Author:</w:t>
            </w:r>
            <w:r w:rsidDel="00000000" w:rsidR="00000000" w:rsidRPr="00000000">
              <w:rPr>
                <w:color w:val="000000"/>
                <w:sz w:val="24"/>
                <w:szCs w:val="24"/>
                <w:rtl w:val="0"/>
              </w:rPr>
              <w:t xml:space="preserve"> Marwan Saud</w:t>
            </w:r>
          </w:p>
          <w:p w:rsidR="00000000" w:rsidDel="00000000" w:rsidP="00000000" w:rsidRDefault="00000000" w:rsidRPr="00000000" w14:paraId="00000007">
            <w:pPr>
              <w:spacing w:line="240" w:lineRule="auto"/>
              <w:rPr>
                <w:color w:val="000000"/>
                <w:sz w:val="24"/>
                <w:szCs w:val="24"/>
              </w:rPr>
            </w:pPr>
            <w:r w:rsidDel="00000000" w:rsidR="00000000" w:rsidRPr="00000000">
              <w:rPr>
                <w:b w:val="1"/>
                <w:color w:val="000000"/>
                <w:sz w:val="24"/>
                <w:szCs w:val="24"/>
                <w:rtl w:val="0"/>
              </w:rPr>
              <w:t xml:space="preserve">Status:</w:t>
            </w:r>
            <w:r w:rsidDel="00000000" w:rsidR="00000000" w:rsidRPr="00000000">
              <w:rPr>
                <w:color w:val="000000"/>
                <w:sz w:val="24"/>
                <w:szCs w:val="24"/>
                <w:rtl w:val="0"/>
              </w:rPr>
              <w:t xml:space="preserve"> Final </w:t>
            </w:r>
          </w:p>
        </w:tc>
        <w:tc>
          <w:tcPr>
            <w:shd w:fill="auto" w:val="clear"/>
            <w:tcMar>
              <w:top w:w="72.0" w:type="dxa"/>
              <w:left w:w="72.0" w:type="dxa"/>
              <w:bottom w:w="72.0" w:type="dxa"/>
              <w:right w:w="72.0" w:type="dxa"/>
            </w:tcMar>
          </w:tcPr>
          <w:p w:rsidR="00000000" w:rsidDel="00000000" w:rsidP="00000000" w:rsidRDefault="00000000" w:rsidRPr="00000000" w14:paraId="00000008">
            <w:pPr>
              <w:spacing w:line="240" w:lineRule="auto"/>
              <w:rPr>
                <w:color w:val="000000"/>
                <w:sz w:val="24"/>
                <w:szCs w:val="24"/>
              </w:rPr>
            </w:pPr>
            <w:r w:rsidDel="00000000" w:rsidR="00000000" w:rsidRPr="00000000">
              <w:rPr>
                <w:b w:val="1"/>
                <w:color w:val="000000"/>
                <w:sz w:val="24"/>
                <w:szCs w:val="24"/>
                <w:rtl w:val="0"/>
              </w:rPr>
              <w:t xml:space="preserve">Created: </w:t>
            </w:r>
            <w:r w:rsidDel="00000000" w:rsidR="00000000" w:rsidRPr="00000000">
              <w:rPr>
                <w:color w:val="000000"/>
                <w:sz w:val="24"/>
                <w:szCs w:val="24"/>
                <w:rtl w:val="0"/>
              </w:rPr>
              <w:t xml:space="preserve">Oct 23</w:t>
            </w:r>
          </w:p>
          <w:p w:rsidR="00000000" w:rsidDel="00000000" w:rsidP="00000000" w:rsidRDefault="00000000" w:rsidRPr="00000000" w14:paraId="00000009">
            <w:pPr>
              <w:spacing w:line="240" w:lineRule="auto"/>
              <w:rPr>
                <w:color w:val="000000"/>
                <w:sz w:val="24"/>
                <w:szCs w:val="24"/>
              </w:rPr>
            </w:pPr>
            <w:r w:rsidDel="00000000" w:rsidR="00000000" w:rsidRPr="00000000">
              <w:rPr>
                <w:b w:val="1"/>
                <w:color w:val="000000"/>
                <w:sz w:val="24"/>
                <w:szCs w:val="24"/>
                <w:rtl w:val="0"/>
              </w:rPr>
              <w:t xml:space="preserve">Updated:</w:t>
            </w:r>
            <w:r w:rsidDel="00000000" w:rsidR="00000000" w:rsidRPr="00000000">
              <w:rPr>
                <w:color w:val="000000"/>
                <w:sz w:val="24"/>
                <w:szCs w:val="24"/>
                <w:rtl w:val="0"/>
              </w:rPr>
              <w:t xml:space="preserve"> Oct 24</w:t>
            </w:r>
          </w:p>
        </w:tc>
        <w:tc>
          <w:tcPr>
            <w:shd w:fill="auto" w:val="clear"/>
            <w:tcMar>
              <w:top w:w="72.0" w:type="dxa"/>
              <w:left w:w="72.0" w:type="dxa"/>
              <w:bottom w:w="72.0" w:type="dxa"/>
              <w:right w:w="72.0" w:type="dxa"/>
            </w:tcMar>
          </w:tcPr>
          <w:p w:rsidR="00000000" w:rsidDel="00000000" w:rsidP="00000000" w:rsidRDefault="00000000" w:rsidRPr="00000000" w14:paraId="0000000A">
            <w:pPr>
              <w:spacing w:line="240" w:lineRule="auto"/>
              <w:rPr>
                <w:color w:val="000000"/>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widowControl w:val="0"/>
        <w:spacing w:after="240" w:before="480" w:lineRule="auto"/>
        <w:rPr>
          <w:b w:val="1"/>
          <w:color w:val="705690"/>
          <w:sz w:val="32"/>
          <w:szCs w:val="32"/>
        </w:rPr>
      </w:pPr>
      <w:bookmarkStart w:colFirst="0" w:colLast="0" w:name="_heading=h.gjdgxs" w:id="0"/>
      <w:bookmarkEnd w:id="0"/>
      <w:r w:rsidDel="00000000" w:rsidR="00000000" w:rsidRPr="00000000">
        <w:rPr>
          <w:b w:val="1"/>
          <w:color w:val="705690"/>
          <w:sz w:val="32"/>
          <w:szCs w:val="32"/>
          <w:rtl w:val="0"/>
        </w:rPr>
        <w:t xml:space="preserve">Objective</w:t>
      </w:r>
    </w:p>
    <w:p w:rsidR="00000000" w:rsidDel="00000000" w:rsidP="00000000" w:rsidRDefault="00000000" w:rsidRPr="00000000" w14:paraId="0000000C">
      <w:pPr>
        <w:widowControl w:val="0"/>
        <w:rPr>
          <w:color w:val="434343"/>
        </w:rPr>
      </w:pPr>
      <w:r w:rsidDel="00000000" w:rsidR="00000000" w:rsidRPr="00000000">
        <w:rPr>
          <w:rtl w:val="0"/>
        </w:rPr>
        <w:t xml:space="preserve">The objective of this document is to identify, assess, and manage potential risks that could impact the successful completion of the project aimed at enhancing operational efficiency and client satisfaction for the luxury tourism company "Nefer Tour".</w:t>
      </w:r>
      <w:r w:rsidDel="00000000" w:rsidR="00000000" w:rsidRPr="00000000">
        <w:rPr>
          <w:rtl w:val="0"/>
        </w:rPr>
      </w:r>
    </w:p>
    <w:p w:rsidR="00000000" w:rsidDel="00000000" w:rsidP="00000000" w:rsidRDefault="00000000" w:rsidRPr="00000000" w14:paraId="0000000D">
      <w:pPr>
        <w:widowControl w:val="0"/>
        <w:rPr>
          <w:color w:val="1976d2"/>
          <w:sz w:val="32"/>
          <w:szCs w:val="32"/>
        </w:rPr>
      </w:pPr>
      <w:r w:rsidDel="00000000" w:rsidR="00000000" w:rsidRPr="00000000">
        <w:rPr>
          <w:rtl w:val="0"/>
        </w:rPr>
      </w:r>
    </w:p>
    <w:p w:rsidR="00000000" w:rsidDel="00000000" w:rsidP="00000000" w:rsidRDefault="00000000" w:rsidRPr="00000000" w14:paraId="0000000E">
      <w:pPr>
        <w:widowControl w:val="0"/>
        <w:rPr>
          <w:b w:val="1"/>
          <w:color w:val="705690"/>
          <w:sz w:val="32"/>
          <w:szCs w:val="32"/>
        </w:rPr>
      </w:pPr>
      <w:r w:rsidDel="00000000" w:rsidR="00000000" w:rsidRPr="00000000">
        <w:rPr>
          <w:b w:val="1"/>
          <w:color w:val="705690"/>
          <w:sz w:val="32"/>
          <w:szCs w:val="32"/>
          <w:rtl w:val="0"/>
        </w:rPr>
        <w:t xml:space="preserve">Executive Summary</w:t>
      </w:r>
    </w:p>
    <w:p w:rsidR="00000000" w:rsidDel="00000000" w:rsidP="00000000" w:rsidRDefault="00000000" w:rsidRPr="00000000" w14:paraId="0000000F">
      <w:pPr>
        <w:widowControl w:val="0"/>
        <w:rPr>
          <w:color w:val="434343"/>
        </w:rPr>
      </w:pPr>
      <w:r w:rsidDel="00000000" w:rsidR="00000000" w:rsidRPr="00000000">
        <w:rPr>
          <w:rtl w:val="0"/>
        </w:rPr>
        <w:t xml:space="preserve">This project spans from Dec 1, 2024, to Feb 20, 2025, with key deliverables including the launch of a training program for customer service, a marketing campaign, a website upgrade, and the establishment of partnership contracts with luxury brands. Potential risks identified include going over the project budget, falling behind the training schedule.</w:t>
      </w:r>
      <w:r w:rsidDel="00000000" w:rsidR="00000000" w:rsidRPr="00000000">
        <w:rPr>
          <w:rtl w:val="0"/>
        </w:rPr>
      </w:r>
    </w:p>
    <w:p w:rsidR="00000000" w:rsidDel="00000000" w:rsidP="00000000" w:rsidRDefault="00000000" w:rsidRPr="00000000" w14:paraId="00000010">
      <w:pPr>
        <w:widowControl w:val="0"/>
        <w:rPr>
          <w:color w:val="434343"/>
        </w:rPr>
      </w:pPr>
      <w:r w:rsidDel="00000000" w:rsidR="00000000" w:rsidRPr="00000000">
        <w:rPr>
          <w:rtl w:val="0"/>
        </w:rPr>
      </w:r>
    </w:p>
    <w:p w:rsidR="00000000" w:rsidDel="00000000" w:rsidP="00000000" w:rsidRDefault="00000000" w:rsidRPr="00000000" w14:paraId="00000011">
      <w:pPr>
        <w:widowControl w:val="0"/>
        <w:rPr>
          <w:color w:val="434343"/>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b w:val="1"/>
          <w:color w:val="434343"/>
          <w:rtl w:val="0"/>
        </w:rPr>
        <w:t xml:space="preserve">RISK TYPE ONE: Going over the project budget</w:t>
      </w:r>
      <w:r w:rsidDel="00000000" w:rsidR="00000000" w:rsidRPr="00000000">
        <w:rPr>
          <w:rtl w:val="0"/>
        </w:rPr>
      </w:r>
    </w:p>
    <w:p w:rsidR="00000000" w:rsidDel="00000000" w:rsidP="00000000" w:rsidRDefault="00000000" w:rsidRPr="00000000" w14:paraId="00000013">
      <w:pPr>
        <w:widowControl w:val="0"/>
        <w:rPr>
          <w:b w:val="1"/>
          <w:color w:val="434343"/>
        </w:rPr>
      </w:pPr>
      <w:r w:rsidDel="00000000" w:rsidR="00000000" w:rsidRPr="00000000">
        <w:rPr>
          <w:rtl w:val="0"/>
        </w:rPr>
      </w:r>
    </w:p>
    <w:p w:rsidR="00000000" w:rsidDel="00000000" w:rsidP="00000000" w:rsidRDefault="00000000" w:rsidRPr="00000000" w14:paraId="00000014">
      <w:pPr>
        <w:widowControl w:val="0"/>
        <w:rPr>
          <w:b w:val="1"/>
          <w:color w:val="434343"/>
        </w:rPr>
      </w:pPr>
      <w:r w:rsidDel="00000000" w:rsidR="00000000" w:rsidRPr="00000000">
        <w:rPr>
          <w:rtl w:val="0"/>
        </w:rPr>
      </w:r>
    </w:p>
    <w:tbl>
      <w:tblPr>
        <w:tblStyle w:val="Table2"/>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color w:val="000000"/>
                <w:sz w:val="20"/>
                <w:szCs w:val="20"/>
              </w:rPr>
            </w:pPr>
            <w:r w:rsidDel="00000000" w:rsidR="00000000" w:rsidRPr="00000000">
              <w:rPr>
                <w:color w:val="000000"/>
                <w:sz w:val="20"/>
                <w:szCs w:val="20"/>
                <w:rtl w:val="0"/>
              </w:rPr>
              <w:t xml:space="preserve">Unexpected Costs in Operations.</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b w:val="1"/>
                <w:color w:val="92d050"/>
              </w:rPr>
            </w:pPr>
            <w:r w:rsidDel="00000000" w:rsidR="00000000" w:rsidRPr="00000000">
              <w:rPr>
                <w:b w:val="1"/>
                <w:color w:val="92d050"/>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Accept </w:t>
            </w:r>
            <w:r w:rsidDel="00000000" w:rsidR="00000000" w:rsidRPr="00000000">
              <w:rPr>
                <w:rtl w:val="0"/>
              </w:rPr>
              <w:t xml:space="preserve">the risk by negotiating fixed rates with suppliers and vendors and maintaining a contingency fund for unexpected expenses.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color w:val="e69138"/>
              </w:rPr>
            </w:pPr>
            <w:r w:rsidDel="00000000" w:rsidR="00000000" w:rsidRPr="00000000">
              <w:rPr>
                <w:color w:val="000000"/>
                <w:sz w:val="20"/>
                <w:szCs w:val="20"/>
                <w:rtl w:val="0"/>
              </w:rPr>
              <w:t xml:space="preserve">Increased Marketing Campaign Expenses.</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b w:val="1"/>
                <w:color w:val="ff6565"/>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b w:val="1"/>
                <w:rtl w:val="0"/>
              </w:rPr>
              <w:t xml:space="preserve">Control</w:t>
            </w:r>
            <w:r w:rsidDel="00000000" w:rsidR="00000000" w:rsidRPr="00000000">
              <w:rPr>
                <w:rtl w:val="0"/>
              </w:rPr>
              <w:t xml:space="preserve"> the risk by setting a strict budget for the campaign and regularly monitoring expenses to ensure they stay within limits.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color w:val="e06666"/>
              </w:rPr>
            </w:pPr>
            <w:r w:rsidDel="00000000" w:rsidR="00000000" w:rsidRPr="00000000">
              <w:rPr>
                <w:color w:val="000000"/>
                <w:sz w:val="20"/>
                <w:szCs w:val="20"/>
                <w:rtl w:val="0"/>
              </w:rPr>
              <w:t xml:space="preserve">Unforeseen Costs in Partnership Contracts.</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b w:val="1"/>
                <w:color w:val="e06666"/>
              </w:rPr>
            </w:pPr>
            <w:r w:rsidDel="00000000" w:rsidR="00000000" w:rsidRPr="00000000">
              <w:rPr>
                <w:b w:val="1"/>
                <w:color w:val="ff6565"/>
                <w:rtl w:val="0"/>
              </w:rPr>
              <w:t xml:space="preserve">High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b w:val="1"/>
                <w:rtl w:val="0"/>
              </w:rPr>
              <w:t xml:space="preserve">Avoid</w:t>
            </w:r>
            <w:r w:rsidDel="00000000" w:rsidR="00000000" w:rsidRPr="00000000">
              <w:rPr>
                <w:rtl w:val="0"/>
              </w:rPr>
              <w:t xml:space="preserve"> the risk by reviewing all contract terms and negotiating favorable conditions with all brands.</w:t>
            </w:r>
          </w:p>
        </w:tc>
      </w:tr>
    </w:tbl>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widowControl w:val="0"/>
        <w:rPr>
          <w:b w:val="1"/>
          <w:color w:val="434343"/>
        </w:rPr>
      </w:pPr>
      <w:r w:rsidDel="00000000" w:rsidR="00000000" w:rsidRPr="00000000">
        <w:rPr>
          <w:b w:val="1"/>
          <w:color w:val="434343"/>
          <w:rtl w:val="0"/>
        </w:rPr>
        <w:t xml:space="preserve">RISK TYPE TWO: Falling behind the training schedule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9">
      <w:pPr>
        <w:widowControl w:val="0"/>
        <w:rPr>
          <w:b w:val="1"/>
          <w:color w:val="434343"/>
        </w:rPr>
      </w:pPr>
      <w:r w:rsidDel="00000000" w:rsidR="00000000" w:rsidRPr="00000000">
        <w:rPr>
          <w:rtl w:val="0"/>
        </w:rPr>
      </w:r>
    </w:p>
    <w:tbl>
      <w:tblPr>
        <w:tblStyle w:val="Table3"/>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b w:val="1"/>
                <w:color w:val="6aa84f"/>
              </w:rPr>
            </w:pPr>
            <w:r w:rsidDel="00000000" w:rsidR="00000000" w:rsidRPr="00000000">
              <w:rPr>
                <w:color w:val="000000"/>
                <w:sz w:val="20"/>
                <w:szCs w:val="20"/>
                <w:rtl w:val="0"/>
              </w:rPr>
              <w:t xml:space="preserve">Trainer Availability Issues.</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b w:val="1"/>
                <w:color w:val="6aa84f"/>
              </w:rPr>
            </w:pPr>
            <w:r w:rsidDel="00000000" w:rsidR="00000000" w:rsidRPr="00000000">
              <w:rPr>
                <w:b w:val="1"/>
                <w:color w:val="6aa84f"/>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b w:val="1"/>
                <w:rtl w:val="0"/>
              </w:rPr>
              <w:t xml:space="preserve">Accept</w:t>
            </w:r>
            <w:r w:rsidDel="00000000" w:rsidR="00000000" w:rsidRPr="00000000">
              <w:rPr>
                <w:rtl w:val="0"/>
              </w:rPr>
              <w:t xml:space="preserve"> the risk and monitor. Have backup trainers available and add a buffer to the training schedule to accommodate potential delays.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b w:val="1"/>
                <w:color w:val="e69138"/>
              </w:rPr>
            </w:pPr>
            <w:r w:rsidDel="00000000" w:rsidR="00000000" w:rsidRPr="00000000">
              <w:rPr>
                <w:color w:val="000000"/>
                <w:sz w:val="20"/>
                <w:szCs w:val="20"/>
                <w:rtl w:val="0"/>
              </w:rPr>
              <w:t xml:space="preserve">High Employee Turnover During Training.</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b w:val="1"/>
                <w:color w:val="e69138"/>
              </w:rPr>
            </w:pPr>
            <w:r w:rsidDel="00000000" w:rsidR="00000000" w:rsidRPr="00000000">
              <w:rPr>
                <w:b w:val="1"/>
                <w:color w:val="e69138"/>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b w:val="1"/>
                <w:rtl w:val="0"/>
              </w:rPr>
              <w:t xml:space="preserve">Control</w:t>
            </w:r>
            <w:r w:rsidDel="00000000" w:rsidR="00000000" w:rsidRPr="00000000">
              <w:rPr>
                <w:rtl w:val="0"/>
              </w:rPr>
              <w:t xml:space="preserve"> the risk by improving the training program to make it more engaging and offering incentives for completion.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b w:val="1"/>
                <w:color w:val="e06666"/>
              </w:rPr>
            </w:pPr>
            <w:r w:rsidDel="00000000" w:rsidR="00000000" w:rsidRPr="00000000">
              <w:rPr>
                <w:color w:val="000000"/>
                <w:sz w:val="20"/>
                <w:szCs w:val="20"/>
                <w:rtl w:val="0"/>
              </w:rPr>
              <w:t xml:space="preserve">Delays in Hiring New Staff.</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b w:val="1"/>
                <w:color w:val="e06666"/>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b w:val="1"/>
                <w:rtl w:val="0"/>
              </w:rPr>
              <w:t xml:space="preserve">Control</w:t>
            </w:r>
            <w:r w:rsidDel="00000000" w:rsidR="00000000" w:rsidRPr="00000000">
              <w:rPr>
                <w:rtl w:val="0"/>
              </w:rPr>
              <w:t xml:space="preserve"> the risk by working closely with the hiring team, holding hiring events, and offering competitive packages to attract candidates.</w:t>
            </w:r>
          </w:p>
        </w:tc>
      </w:tr>
    </w:tbl>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17" w:top="850"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933F66"/>
    <w:pPr>
      <w:tabs>
        <w:tab w:val="center" w:pos="4680"/>
        <w:tab w:val="right" w:pos="9360"/>
      </w:tabs>
      <w:spacing w:line="240" w:lineRule="auto"/>
    </w:pPr>
  </w:style>
  <w:style w:type="character" w:styleId="HeaderChar" w:customStyle="1">
    <w:name w:val="Header Char"/>
    <w:basedOn w:val="DefaultParagraphFont"/>
    <w:link w:val="Header"/>
    <w:uiPriority w:val="99"/>
    <w:rsid w:val="00933F66"/>
  </w:style>
  <w:style w:type="paragraph" w:styleId="Footer">
    <w:name w:val="footer"/>
    <w:basedOn w:val="Normal"/>
    <w:link w:val="FooterChar"/>
    <w:uiPriority w:val="99"/>
    <w:unhideWhenUsed w:val="1"/>
    <w:rsid w:val="00933F66"/>
    <w:pPr>
      <w:tabs>
        <w:tab w:val="center" w:pos="4680"/>
        <w:tab w:val="right" w:pos="9360"/>
      </w:tabs>
      <w:spacing w:line="240" w:lineRule="auto"/>
    </w:pPr>
  </w:style>
  <w:style w:type="character" w:styleId="FooterChar" w:customStyle="1">
    <w:name w:val="Footer Char"/>
    <w:basedOn w:val="DefaultParagraphFont"/>
    <w:link w:val="Footer"/>
    <w:uiPriority w:val="99"/>
    <w:rsid w:val="00933F6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AufHWjSKqDMgSt/KxsF4d2adg==">CgMxLjAyCGguZ2pkZ3hzOAByITFnWkgwRll1aklvTHktMkdaSnlOV0gxT2xhSDlnenJiSw==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2024-10-26T15:46:00Z</dcterms:created>
  <dc:creator>Marwan Saud AbdelAal</dc:creator>
</cp:coreProperties>
</file>