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3F66" w14:textId="77777777" w:rsidR="00E85EA8" w:rsidRDefault="00000000">
      <w:pPr>
        <w:spacing w:after="0"/>
      </w:pPr>
      <w:r>
        <w:rPr>
          <w:b/>
          <w:color w:val="0B2545"/>
          <w:sz w:val="48"/>
        </w:rPr>
        <w:t>STEWARDEX MOBILE</w:t>
      </w:r>
    </w:p>
    <w:p w14:paraId="1BF80034" w14:textId="77777777" w:rsidR="00E85EA8" w:rsidRDefault="00000000">
      <w:pPr>
        <w:spacing w:after="40"/>
      </w:pPr>
      <w:r>
        <w:rPr>
          <w:b/>
          <w:color w:val="1F8A7E"/>
          <w:sz w:val="24"/>
        </w:rPr>
        <w:t>Project Proposal — Phase 1 Mobile Application (iOS &amp; Android)</w:t>
      </w:r>
    </w:p>
    <w:tbl>
      <w:tblPr>
        <w:tblW w:w="0" w:type="auto"/>
        <w:tblLook w:val="04A0" w:firstRow="1" w:lastRow="0" w:firstColumn="1" w:lastColumn="0" w:noHBand="0" w:noVBand="1"/>
      </w:tblPr>
      <w:tblGrid>
        <w:gridCol w:w="2493"/>
        <w:gridCol w:w="2493"/>
        <w:gridCol w:w="2493"/>
        <w:gridCol w:w="2493"/>
      </w:tblGrid>
      <w:tr w:rsidR="00E85EA8" w14:paraId="0E97B91F" w14:textId="77777777">
        <w:tc>
          <w:tcPr>
            <w:tcW w:w="2493" w:type="dxa"/>
          </w:tcPr>
          <w:p w14:paraId="142C7DB2" w14:textId="77777777" w:rsidR="00E85EA8" w:rsidRDefault="00000000">
            <w:pPr>
              <w:spacing w:before="40" w:after="40"/>
            </w:pPr>
            <w:r>
              <w:rPr>
                <w:b/>
                <w:color w:val="5A6675"/>
                <w:sz w:val="16"/>
              </w:rPr>
              <w:t>PREPARED FOR</w:t>
            </w:r>
          </w:p>
        </w:tc>
        <w:tc>
          <w:tcPr>
            <w:tcW w:w="2493" w:type="dxa"/>
          </w:tcPr>
          <w:p w14:paraId="09DECEFD" w14:textId="77777777" w:rsidR="00E85EA8" w:rsidRDefault="00000000">
            <w:pPr>
              <w:spacing w:before="40" w:after="40"/>
            </w:pPr>
            <w:r>
              <w:rPr>
                <w:b/>
                <w:color w:val="5A6675"/>
                <w:sz w:val="16"/>
              </w:rPr>
              <w:t>PREPARED BY</w:t>
            </w:r>
          </w:p>
        </w:tc>
        <w:tc>
          <w:tcPr>
            <w:tcW w:w="2493" w:type="dxa"/>
          </w:tcPr>
          <w:p w14:paraId="43B771AA" w14:textId="77777777" w:rsidR="00E85EA8" w:rsidRDefault="00000000">
            <w:pPr>
              <w:spacing w:before="40" w:after="40"/>
            </w:pPr>
            <w:r>
              <w:rPr>
                <w:b/>
                <w:color w:val="5A6675"/>
                <w:sz w:val="16"/>
              </w:rPr>
              <w:t>DATE</w:t>
            </w:r>
          </w:p>
        </w:tc>
        <w:tc>
          <w:tcPr>
            <w:tcW w:w="2493" w:type="dxa"/>
          </w:tcPr>
          <w:p w14:paraId="6F90519C" w14:textId="77777777" w:rsidR="00E85EA8" w:rsidRDefault="00000000">
            <w:pPr>
              <w:spacing w:before="40" w:after="40"/>
            </w:pPr>
            <w:r>
              <w:rPr>
                <w:b/>
                <w:color w:val="5A6675"/>
                <w:sz w:val="16"/>
              </w:rPr>
              <w:t>VALID UNTIL</w:t>
            </w:r>
          </w:p>
        </w:tc>
      </w:tr>
      <w:tr w:rsidR="00E85EA8" w14:paraId="3C7E2AD1" w14:textId="77777777">
        <w:tc>
          <w:tcPr>
            <w:tcW w:w="2493" w:type="dxa"/>
          </w:tcPr>
          <w:p w14:paraId="6DA5A004" w14:textId="659BB854" w:rsidR="00E85EA8" w:rsidRDefault="00736CE1">
            <w:pPr>
              <w:spacing w:before="40" w:after="40"/>
            </w:pPr>
            <w:r>
              <w:rPr>
                <w:b/>
                <w:color w:val="0B2545"/>
                <w:sz w:val="20"/>
              </w:rPr>
              <w:t>Mohammed Irfaq</w:t>
            </w:r>
          </w:p>
        </w:tc>
        <w:tc>
          <w:tcPr>
            <w:tcW w:w="2493" w:type="dxa"/>
          </w:tcPr>
          <w:p w14:paraId="05F8BDC8" w14:textId="624D944C" w:rsidR="00E85EA8" w:rsidRDefault="00736CE1">
            <w:pPr>
              <w:spacing w:before="40" w:after="40"/>
            </w:pPr>
            <w:r>
              <w:rPr>
                <w:b/>
                <w:color w:val="0B2545"/>
                <w:sz w:val="20"/>
              </w:rPr>
              <w:t>Calcite Technologies</w:t>
            </w:r>
          </w:p>
        </w:tc>
        <w:tc>
          <w:tcPr>
            <w:tcW w:w="2493" w:type="dxa"/>
          </w:tcPr>
          <w:p w14:paraId="32954CBE" w14:textId="77777777" w:rsidR="00E85EA8" w:rsidRDefault="00000000">
            <w:pPr>
              <w:spacing w:before="40" w:after="40"/>
            </w:pPr>
            <w:r>
              <w:rPr>
                <w:b/>
                <w:color w:val="0B2545"/>
                <w:sz w:val="20"/>
              </w:rPr>
              <w:t>19 June 2026</w:t>
            </w:r>
          </w:p>
        </w:tc>
        <w:tc>
          <w:tcPr>
            <w:tcW w:w="2493" w:type="dxa"/>
          </w:tcPr>
          <w:p w14:paraId="24ADD983" w14:textId="7D659539" w:rsidR="00E85EA8" w:rsidRDefault="00736CE1">
            <w:pPr>
              <w:spacing w:before="40" w:after="40"/>
            </w:pPr>
            <w:r>
              <w:rPr>
                <w:b/>
                <w:color w:val="0B2545"/>
                <w:sz w:val="20"/>
              </w:rPr>
              <w:t>30</w:t>
            </w:r>
            <w:r w:rsidR="00000000">
              <w:rPr>
                <w:b/>
                <w:color w:val="0B2545"/>
                <w:sz w:val="20"/>
              </w:rPr>
              <w:t xml:space="preserve"> Ju</w:t>
            </w:r>
            <w:r>
              <w:rPr>
                <w:b/>
                <w:color w:val="0B2545"/>
                <w:sz w:val="20"/>
              </w:rPr>
              <w:t>ne</w:t>
            </w:r>
            <w:r w:rsidR="00000000">
              <w:rPr>
                <w:b/>
                <w:color w:val="0B2545"/>
                <w:sz w:val="20"/>
              </w:rPr>
              <w:t xml:space="preserve"> 2026</w:t>
            </w:r>
          </w:p>
        </w:tc>
      </w:tr>
    </w:tbl>
    <w:p w14:paraId="4F3D5E8E" w14:textId="77777777" w:rsidR="00E85EA8" w:rsidRDefault="00E85EA8">
      <w:pPr>
        <w:pBdr>
          <w:bottom w:val="single" w:sz="18" w:space="1" w:color="1F8A7E"/>
        </w:pBdr>
        <w:spacing w:before="80" w:after="40"/>
      </w:pPr>
    </w:p>
    <w:p w14:paraId="00614422" w14:textId="77777777" w:rsidR="00E85EA8" w:rsidRDefault="00000000">
      <w:pPr>
        <w:pBdr>
          <w:bottom w:val="single" w:sz="12" w:space="3" w:color="1F8A7E"/>
        </w:pBdr>
        <w:spacing w:before="240" w:after="80"/>
      </w:pPr>
      <w:r>
        <w:rPr>
          <w:b/>
          <w:color w:val="0B2545"/>
          <w:sz w:val="27"/>
        </w:rPr>
        <w:t>1.  Overview</w:t>
      </w:r>
    </w:p>
    <w:p w14:paraId="2E7F77F6" w14:textId="627863DF" w:rsidR="00E85EA8" w:rsidRDefault="00000000">
      <w:r>
        <w:t>Stewardex Mobile is a native-feel, cross-platform companion application (iOS &amp; Android) for the Stewardex governance and compliance suite. It puts the day-to-day, time-sensitive work</w:t>
      </w:r>
      <w:r w:rsidR="00736CE1">
        <w:t>;</w:t>
      </w:r>
      <w:r>
        <w:t xml:space="preserve"> approvals, workflows, registers, meetings, chat and training</w:t>
      </w:r>
      <w:r w:rsidR="00736CE1">
        <w:t xml:space="preserve">; </w:t>
      </w:r>
      <w:r>
        <w:t>in the pocket of every team member, so that nothing that requires a person stalls while they are away from their desk.</w:t>
      </w:r>
    </w:p>
    <w:p w14:paraId="6B29E744" w14:textId="51A6451C" w:rsidR="00E85EA8" w:rsidRDefault="00000000">
      <w:r>
        <w:t>The application runs on the same server and infrastructure as the existing Stewardex web platform. Every action performed on mobile is recorded with the identical workflow processing, audit trail and approval logic as the web app</w:t>
      </w:r>
      <w:r w:rsidR="00736CE1">
        <w:t>;</w:t>
      </w:r>
      <w:r>
        <w:t xml:space="preserve"> the mobile experience aids and fast-tracks the existing software; it does not replace or fork it.</w:t>
      </w:r>
    </w:p>
    <w:p w14:paraId="419A0E32" w14:textId="77777777" w:rsidR="00E85EA8" w:rsidRDefault="00000000">
      <w:r>
        <w:t>This proposal covers Phase 1: the scope, a four-week delivery timeline (three weeks of development and a dedicated week of UAT &amp; QA), and the commercials.</w:t>
      </w:r>
    </w:p>
    <w:p w14:paraId="4E1F5C9F" w14:textId="77777777" w:rsidR="00E85EA8" w:rsidRDefault="00000000">
      <w:pPr>
        <w:pBdr>
          <w:bottom w:val="single" w:sz="12" w:space="3" w:color="1F8A7E"/>
        </w:pBdr>
        <w:spacing w:before="240" w:after="80"/>
      </w:pPr>
      <w:r>
        <w:rPr>
          <w:b/>
          <w:color w:val="0B2545"/>
          <w:sz w:val="27"/>
        </w:rPr>
        <w:t>2.  Objectives</w:t>
      </w:r>
    </w:p>
    <w:p w14:paraId="24310C0A" w14:textId="30CC9CDF" w:rsidR="00E85EA8" w:rsidRDefault="00000000">
      <w:pPr>
        <w:pStyle w:val="ListBullet"/>
        <w:spacing w:after="40" w:line="264" w:lineRule="auto"/>
      </w:pPr>
      <w:r>
        <w:rPr>
          <w:b/>
        </w:rPr>
        <w:t xml:space="preserve">Surface every blocker </w:t>
      </w:r>
      <w:r w:rsidR="00736CE1">
        <w:rPr>
          <w:b/>
        </w:rPr>
        <w:t>-</w:t>
      </w:r>
      <w:r>
        <w:rPr>
          <w:b/>
        </w:rPr>
        <w:t xml:space="preserve"> </w:t>
      </w:r>
      <w:r>
        <w:t>so that no approval, decision or resolution becomes a hidden bottleneck.</w:t>
      </w:r>
    </w:p>
    <w:p w14:paraId="08A7B207" w14:textId="21C3DBC5" w:rsidR="00E85EA8" w:rsidRDefault="00000000">
      <w:pPr>
        <w:pStyle w:val="ListBullet"/>
        <w:spacing w:after="40" w:line="264" w:lineRule="auto"/>
      </w:pPr>
      <w:r>
        <w:rPr>
          <w:b/>
        </w:rPr>
        <w:t>Action the registers</w:t>
      </w:r>
      <w:r w:rsidR="00736CE1">
        <w:rPr>
          <w:b/>
        </w:rPr>
        <w:t xml:space="preserve"> -</w:t>
      </w:r>
      <w:r>
        <w:rPr>
          <w:b/>
        </w:rPr>
        <w:t xml:space="preserve"> </w:t>
      </w:r>
      <w:r>
        <w:t>create, triage, route/hand-off and resolve register items directly from mobile.</w:t>
      </w:r>
    </w:p>
    <w:p w14:paraId="24657A94" w14:textId="601E1957" w:rsidR="00E85EA8" w:rsidRDefault="00000000">
      <w:pPr>
        <w:pStyle w:val="ListBullet"/>
        <w:spacing w:after="40" w:line="264" w:lineRule="auto"/>
      </w:pPr>
      <w:r>
        <w:rPr>
          <w:b/>
        </w:rPr>
        <w:t xml:space="preserve">Preserve parity </w:t>
      </w:r>
      <w:r w:rsidR="00736CE1">
        <w:rPr>
          <w:b/>
        </w:rPr>
        <w:t xml:space="preserve">- </w:t>
      </w:r>
      <w:r>
        <w:t>keep workflow recording, audit trail and notifications identical to the web app.</w:t>
      </w:r>
    </w:p>
    <w:p w14:paraId="641C56E8" w14:textId="197918C1" w:rsidR="00E85EA8" w:rsidRDefault="00000000">
      <w:pPr>
        <w:pStyle w:val="ListBullet"/>
        <w:spacing w:after="40" w:line="264" w:lineRule="auto"/>
      </w:pPr>
      <w:r>
        <w:rPr>
          <w:b/>
        </w:rPr>
        <w:t xml:space="preserve">Respect permissions </w:t>
      </w:r>
      <w:r w:rsidR="00736CE1">
        <w:rPr>
          <w:b/>
        </w:rPr>
        <w:t>-</w:t>
      </w:r>
      <w:r>
        <w:rPr>
          <w:b/>
        </w:rPr>
        <w:t xml:space="preserve"> </w:t>
      </w:r>
      <w:r>
        <w:t>administrative configuration stays on web; mobile gives the right people the right action.</w:t>
      </w:r>
    </w:p>
    <w:p w14:paraId="2E3EE5A3" w14:textId="77777777" w:rsidR="00E85EA8" w:rsidRDefault="00000000">
      <w:pPr>
        <w:pBdr>
          <w:bottom w:val="single" w:sz="12" w:space="3" w:color="1F8A7E"/>
        </w:pBdr>
        <w:spacing w:before="240" w:after="80"/>
      </w:pPr>
      <w:r>
        <w:rPr>
          <w:b/>
          <w:color w:val="0B2545"/>
          <w:sz w:val="27"/>
        </w:rPr>
        <w:t>3.  Scope</w:t>
      </w:r>
    </w:p>
    <w:p w14:paraId="3DFC7282" w14:textId="77777777" w:rsidR="00E85EA8" w:rsidRDefault="00000000">
      <w:pPr>
        <w:spacing w:before="140" w:after="40"/>
      </w:pPr>
      <w:r>
        <w:rPr>
          <w:b/>
          <w:color w:val="1F8A7E"/>
        </w:rPr>
        <w:t>In scope — Phase 1</w:t>
      </w:r>
    </w:p>
    <w:p w14:paraId="18C1CC55" w14:textId="77777777" w:rsidR="00E85EA8" w:rsidRDefault="00000000">
      <w:pPr>
        <w:pStyle w:val="ListBullet"/>
        <w:spacing w:after="40" w:line="264" w:lineRule="auto"/>
      </w:pPr>
      <w:r>
        <w:rPr>
          <w:b/>
        </w:rPr>
        <w:t xml:space="preserve">Authentication &amp; security:  </w:t>
      </w:r>
      <w:r>
        <w:t>secure sign-in, two-factor / OTP, Face ID unlock and role-based access.</w:t>
      </w:r>
    </w:p>
    <w:p w14:paraId="5DC889F5" w14:textId="77777777" w:rsidR="00E85EA8" w:rsidRDefault="00000000">
      <w:pPr>
        <w:pStyle w:val="ListBullet"/>
        <w:spacing w:after="40" w:line="264" w:lineRule="auto"/>
      </w:pPr>
      <w:r>
        <w:rPr>
          <w:b/>
        </w:rPr>
        <w:t xml:space="preserve">Home / My Tasks:  </w:t>
      </w:r>
      <w:r>
        <w:t>today's tasks, pending approvals, quick actions and an iOS-style notification centre.</w:t>
      </w:r>
    </w:p>
    <w:p w14:paraId="716154DE" w14:textId="77777777" w:rsidR="00E85EA8" w:rsidRDefault="00000000">
      <w:pPr>
        <w:pStyle w:val="ListBullet"/>
        <w:spacing w:after="40" w:line="264" w:lineRule="auto"/>
      </w:pPr>
      <w:r>
        <w:rPr>
          <w:b/>
        </w:rPr>
        <w:t xml:space="preserve">Push notifications:  </w:t>
      </w:r>
      <w:r>
        <w:t>real-time alerts for approvals, mentions, meetings, policies, risks and complaints, each deep-linking to the relevant record.</w:t>
      </w:r>
    </w:p>
    <w:p w14:paraId="3E01B2D3" w14:textId="77777777" w:rsidR="00E85EA8" w:rsidRDefault="00000000">
      <w:pPr>
        <w:pStyle w:val="ListBullet"/>
        <w:spacing w:after="40" w:line="264" w:lineRule="auto"/>
      </w:pPr>
      <w:r>
        <w:rPr>
          <w:b/>
        </w:rPr>
        <w:t xml:space="preserve">Calendar:  </w:t>
      </w:r>
      <w:r>
        <w:t>month, week, list and 'expiring soon' views; add meetings, events and personal tasks; reminders for due and expiring items.</w:t>
      </w:r>
    </w:p>
    <w:p w14:paraId="62360AF6" w14:textId="77777777" w:rsidR="00E85EA8" w:rsidRDefault="00000000">
      <w:pPr>
        <w:pStyle w:val="ListBullet"/>
        <w:spacing w:after="40" w:line="264" w:lineRule="auto"/>
      </w:pPr>
      <w:r>
        <w:rPr>
          <w:b/>
        </w:rPr>
        <w:t xml:space="preserve">Approvals &amp; workflows:  </w:t>
      </w:r>
      <w:r>
        <w:t>the full approval inbox with approval-chain visibility — approve, reject, escalate, flag a COI, raise/route a risk, or delegate. All workflow types surface on mobile.</w:t>
      </w:r>
    </w:p>
    <w:p w14:paraId="4E4F760E" w14:textId="77777777" w:rsidR="00E85EA8" w:rsidRDefault="00000000">
      <w:pPr>
        <w:pStyle w:val="ListBullet"/>
        <w:spacing w:after="40" w:line="264" w:lineRule="auto"/>
      </w:pPr>
      <w:r>
        <w:rPr>
          <w:b/>
        </w:rPr>
        <w:t xml:space="preserve">Communication (chat):  </w:t>
      </w:r>
      <w:r>
        <w:t>channel and direct messaging, mentions and threads (joining existing channels; creating new channels remains on web).</w:t>
      </w:r>
    </w:p>
    <w:p w14:paraId="5970C622" w14:textId="77777777" w:rsidR="00E85EA8" w:rsidRDefault="00000000">
      <w:pPr>
        <w:pStyle w:val="ListBullet"/>
        <w:spacing w:after="40" w:line="264" w:lineRule="auto"/>
      </w:pPr>
      <w:r>
        <w:rPr>
          <w:b/>
        </w:rPr>
        <w:t xml:space="preserve">Registers — view, create &amp; resolve:  </w:t>
      </w:r>
      <w:r>
        <w:t>read records and create new items, plus the workflow handling for each —</w:t>
      </w:r>
    </w:p>
    <w:p w14:paraId="566DF864" w14:textId="77777777" w:rsidR="00E85EA8" w:rsidRDefault="00E85EA8">
      <w:pPr>
        <w:spacing w:after="40"/>
        <w:ind w:left="567"/>
      </w:pPr>
    </w:p>
    <w:p w14:paraId="53DEFFB3" w14:textId="77777777" w:rsidR="00E85EA8" w:rsidRDefault="00000000">
      <w:pPr>
        <w:pStyle w:val="ListBullet2"/>
        <w:spacing w:after="20"/>
      </w:pPr>
      <w:r>
        <w:rPr>
          <w:b/>
          <w:sz w:val="20"/>
        </w:rPr>
        <w:t xml:space="preserve">Risk: </w:t>
      </w:r>
      <w:r>
        <w:rPr>
          <w:sz w:val="20"/>
        </w:rPr>
        <w:t>heat-map &amp; records (read); raise a risk; admin triage — set priority, assign owner and route / hand off to a head of department; escalate; add treatment; resolve.</w:t>
      </w:r>
    </w:p>
    <w:p w14:paraId="2D045B08" w14:textId="77777777" w:rsidR="00E85EA8" w:rsidRDefault="00000000">
      <w:pPr>
        <w:pStyle w:val="ListBullet2"/>
        <w:spacing w:after="20"/>
      </w:pPr>
      <w:r>
        <w:rPr>
          <w:b/>
          <w:sz w:val="20"/>
        </w:rPr>
        <w:t xml:space="preserve">Conflicts of Interest: </w:t>
      </w:r>
      <w:r>
        <w:rPr>
          <w:sz w:val="20"/>
        </w:rPr>
        <w:t>declare a conflict; review chain; route to board; add mitigation; approve or reject.</w:t>
      </w:r>
    </w:p>
    <w:p w14:paraId="1B25160E" w14:textId="77777777" w:rsidR="00E85EA8" w:rsidRDefault="00000000">
      <w:pPr>
        <w:pStyle w:val="ListBullet2"/>
        <w:spacing w:after="20"/>
      </w:pPr>
      <w:r>
        <w:rPr>
          <w:b/>
          <w:sz w:val="20"/>
        </w:rPr>
        <w:t xml:space="preserve">Complaints: </w:t>
      </w:r>
      <w:r>
        <w:rPr>
          <w:sz w:val="20"/>
        </w:rPr>
        <w:t>log a complaint; assign a handler; escalate; respond; resolve and close.</w:t>
      </w:r>
    </w:p>
    <w:p w14:paraId="78CBC9E2" w14:textId="77777777" w:rsidR="00E85EA8" w:rsidRDefault="00000000">
      <w:pPr>
        <w:pStyle w:val="ListBullet2"/>
        <w:spacing w:after="20"/>
      </w:pPr>
      <w:r>
        <w:rPr>
          <w:b/>
          <w:sz w:val="20"/>
        </w:rPr>
        <w:t xml:space="preserve">Policies: </w:t>
      </w:r>
      <w:r>
        <w:rPr>
          <w:sz w:val="20"/>
        </w:rPr>
        <w:t>read and acknowledge policies (uploading new policies remains on web).</w:t>
      </w:r>
    </w:p>
    <w:p w14:paraId="3D0CE926" w14:textId="77777777" w:rsidR="00E85EA8" w:rsidRDefault="00000000">
      <w:pPr>
        <w:pStyle w:val="ListBullet"/>
        <w:spacing w:after="40" w:line="264" w:lineRule="auto"/>
      </w:pPr>
      <w:r>
        <w:rPr>
          <w:b/>
        </w:rPr>
        <w:lastRenderedPageBreak/>
        <w:t xml:space="preserve">Meetings:  </w:t>
      </w:r>
      <w:r>
        <w:t>upcoming &amp; past meetings, RSVP, agenda, minutes &amp; notes, comments, and add a meeting.</w:t>
      </w:r>
    </w:p>
    <w:p w14:paraId="33592EFF" w14:textId="77777777" w:rsidR="00E85EA8" w:rsidRDefault="00000000">
      <w:pPr>
        <w:pStyle w:val="ListBullet"/>
        <w:spacing w:after="40" w:line="264" w:lineRule="auto"/>
      </w:pPr>
      <w:r>
        <w:rPr>
          <w:b/>
        </w:rPr>
        <w:t xml:space="preserve">Training:  </w:t>
      </w:r>
      <w:r>
        <w:t>take and watch assigned training and videos, resume in place, with completion and watch-time recorded to the user's training record.</w:t>
      </w:r>
    </w:p>
    <w:p w14:paraId="7F6CBE74" w14:textId="77777777" w:rsidR="00E85EA8" w:rsidRDefault="00000000">
      <w:pPr>
        <w:pStyle w:val="ListBullet"/>
        <w:spacing w:after="40" w:line="264" w:lineRule="auto"/>
      </w:pPr>
      <w:r>
        <w:rPr>
          <w:b/>
        </w:rPr>
        <w:t xml:space="preserve">Expenses:  </w:t>
      </w:r>
      <w:r>
        <w:t>submit a claim against vetted suppliers, allocate to a project budget and attach an invoice.</w:t>
      </w:r>
    </w:p>
    <w:p w14:paraId="09D375D5" w14:textId="77777777" w:rsidR="00E85EA8" w:rsidRDefault="00000000">
      <w:pPr>
        <w:pStyle w:val="ListBullet"/>
        <w:spacing w:after="40" w:line="264" w:lineRule="auto"/>
      </w:pPr>
      <w:r>
        <w:rPr>
          <w:b/>
        </w:rPr>
        <w:t xml:space="preserve">Billing:  </w:t>
      </w:r>
      <w:r>
        <w:t>view plan, usage and invoices, upgrade, and manage payment via Stripe.</w:t>
      </w:r>
    </w:p>
    <w:p w14:paraId="105C3271" w14:textId="77777777" w:rsidR="00E85EA8" w:rsidRDefault="00000000">
      <w:pPr>
        <w:pStyle w:val="ListBullet"/>
        <w:spacing w:after="40" w:line="264" w:lineRule="auto"/>
      </w:pPr>
      <w:r>
        <w:rPr>
          <w:b/>
        </w:rPr>
        <w:t xml:space="preserve">Role-aware permissions:  </w:t>
      </w:r>
      <w:r>
        <w:t>administrative actions (allocation, decision, resolution) are gated by role; non-privileged users receive read access plus their own permitted action. Light &amp; dark mode throughout.</w:t>
      </w:r>
    </w:p>
    <w:p w14:paraId="3C07C628" w14:textId="77777777" w:rsidR="00E85EA8" w:rsidRDefault="00000000">
      <w:pPr>
        <w:spacing w:before="140" w:after="40"/>
      </w:pPr>
      <w:r>
        <w:rPr>
          <w:b/>
          <w:color w:val="1F8A7E"/>
        </w:rPr>
        <w:t>Out of scope — Phase 1</w:t>
      </w:r>
    </w:p>
    <w:p w14:paraId="1149D3B6" w14:textId="77777777" w:rsidR="00E85EA8" w:rsidRDefault="00000000">
      <w:pPr>
        <w:pStyle w:val="ListBullet"/>
        <w:spacing w:after="40" w:line="264" w:lineRule="auto"/>
      </w:pPr>
      <w:r>
        <w:t>Configuring approval workflows and permission matrices.</w:t>
      </w:r>
    </w:p>
    <w:p w14:paraId="584BA52A" w14:textId="77777777" w:rsidR="00E85EA8" w:rsidRDefault="00000000">
      <w:pPr>
        <w:pStyle w:val="ListBullet"/>
        <w:spacing w:after="40" w:line="264" w:lineRule="auto"/>
      </w:pPr>
      <w:r>
        <w:t>Full register administration / set-up and supplier–partner vetting (vetting status is read-only on mobile).</w:t>
      </w:r>
    </w:p>
    <w:p w14:paraId="690C1100" w14:textId="77777777" w:rsidR="00E85EA8" w:rsidRDefault="00000000">
      <w:pPr>
        <w:pStyle w:val="ListBullet"/>
        <w:spacing w:after="40" w:line="264" w:lineRule="auto"/>
      </w:pPr>
      <w:r>
        <w:t>Organisation onboarding and set-up wizards.</w:t>
      </w:r>
    </w:p>
    <w:p w14:paraId="0EF5178D" w14:textId="77777777" w:rsidR="00E85EA8" w:rsidRDefault="00000000">
      <w:pPr>
        <w:pStyle w:val="ListBullet"/>
        <w:spacing w:after="40" w:line="264" w:lineRule="auto"/>
      </w:pPr>
      <w:r>
        <w:t>Uploading new policies or legal documents.</w:t>
      </w:r>
    </w:p>
    <w:p w14:paraId="6B953AEF" w14:textId="77777777" w:rsidR="00E85EA8" w:rsidRDefault="00000000">
      <w:pPr>
        <w:pStyle w:val="ListBullet"/>
        <w:spacing w:after="40" w:line="264" w:lineRule="auto"/>
      </w:pPr>
      <w:r>
        <w:t>Advanced reporting — fiscal reports and grant-owner management.</w:t>
      </w:r>
    </w:p>
    <w:p w14:paraId="5702E44D" w14:textId="77777777" w:rsidR="00E85EA8" w:rsidRDefault="00000000">
      <w:pPr>
        <w:pStyle w:val="ListBullet"/>
        <w:spacing w:after="40" w:line="264" w:lineRule="auto"/>
      </w:pPr>
      <w:r>
        <w:t>The Project Delivery register as a dedicated screen (its workflows still surface on mobile; a full register view is available as an optional add-on).</w:t>
      </w:r>
    </w:p>
    <w:p w14:paraId="24FD3305" w14:textId="77777777" w:rsidR="00E85EA8" w:rsidRDefault="00000000">
      <w:pPr>
        <w:pBdr>
          <w:bottom w:val="single" w:sz="12" w:space="3" w:color="1F8A7E"/>
        </w:pBdr>
        <w:spacing w:before="240" w:after="80"/>
      </w:pPr>
      <w:r>
        <w:rPr>
          <w:b/>
          <w:color w:val="0B2545"/>
          <w:sz w:val="27"/>
        </w:rPr>
        <w:t>4.  Timeline — 4 weeks (3 development + 1 UAT &amp; QA)</w:t>
      </w:r>
    </w:p>
    <w:tbl>
      <w:tblPr>
        <w:tblStyle w:val="TableGrid"/>
        <w:tblW w:w="0" w:type="auto"/>
        <w:jc w:val="center"/>
        <w:tblLook w:val="04A0" w:firstRow="1" w:lastRow="0" w:firstColumn="1" w:lastColumn="0" w:noHBand="0" w:noVBand="1"/>
      </w:tblPr>
      <w:tblGrid>
        <w:gridCol w:w="3324"/>
        <w:gridCol w:w="3324"/>
        <w:gridCol w:w="3324"/>
      </w:tblGrid>
      <w:tr w:rsidR="00E85EA8" w14:paraId="6E4DB7E4" w14:textId="77777777">
        <w:trPr>
          <w:jc w:val="center"/>
        </w:trPr>
        <w:tc>
          <w:tcPr>
            <w:tcW w:w="3324" w:type="dxa"/>
            <w:shd w:val="clear" w:color="auto" w:fill="1F8A7E"/>
          </w:tcPr>
          <w:p w14:paraId="209B0083" w14:textId="77777777" w:rsidR="00E85EA8" w:rsidRDefault="00000000">
            <w:pPr>
              <w:spacing w:before="40" w:after="40"/>
            </w:pPr>
            <w:r>
              <w:rPr>
                <w:b/>
                <w:color w:val="FFFFFF"/>
                <w:sz w:val="20"/>
              </w:rPr>
              <w:t>Week</w:t>
            </w:r>
          </w:p>
        </w:tc>
        <w:tc>
          <w:tcPr>
            <w:tcW w:w="3324" w:type="dxa"/>
            <w:shd w:val="clear" w:color="auto" w:fill="1F8A7E"/>
          </w:tcPr>
          <w:p w14:paraId="756F762E" w14:textId="77777777" w:rsidR="00E85EA8" w:rsidRDefault="00000000">
            <w:pPr>
              <w:spacing w:before="40" w:after="40"/>
            </w:pPr>
            <w:r>
              <w:rPr>
                <w:b/>
                <w:color w:val="FFFFFF"/>
                <w:sz w:val="20"/>
              </w:rPr>
              <w:t>Stage</w:t>
            </w:r>
          </w:p>
        </w:tc>
        <w:tc>
          <w:tcPr>
            <w:tcW w:w="3324" w:type="dxa"/>
            <w:shd w:val="clear" w:color="auto" w:fill="1F8A7E"/>
          </w:tcPr>
          <w:p w14:paraId="5015C5AF" w14:textId="77777777" w:rsidR="00E85EA8" w:rsidRDefault="00000000">
            <w:pPr>
              <w:spacing w:before="40" w:after="40"/>
            </w:pPr>
            <w:r>
              <w:rPr>
                <w:b/>
                <w:color w:val="FFFFFF"/>
                <w:sz w:val="20"/>
              </w:rPr>
              <w:t>Key activities</w:t>
            </w:r>
          </w:p>
        </w:tc>
      </w:tr>
      <w:tr w:rsidR="00E85EA8" w14:paraId="3505BF1C" w14:textId="77777777">
        <w:trPr>
          <w:jc w:val="center"/>
        </w:trPr>
        <w:tc>
          <w:tcPr>
            <w:tcW w:w="3324" w:type="dxa"/>
          </w:tcPr>
          <w:p w14:paraId="3694A68E" w14:textId="77777777" w:rsidR="00E85EA8" w:rsidRDefault="00000000">
            <w:pPr>
              <w:spacing w:before="40" w:after="40"/>
            </w:pPr>
            <w:r>
              <w:rPr>
                <w:b/>
                <w:color w:val="0B2545"/>
                <w:sz w:val="20"/>
              </w:rPr>
              <w:t>Week 1</w:t>
            </w:r>
          </w:p>
        </w:tc>
        <w:tc>
          <w:tcPr>
            <w:tcW w:w="3324" w:type="dxa"/>
          </w:tcPr>
          <w:p w14:paraId="7FC671D2" w14:textId="77777777" w:rsidR="00E85EA8" w:rsidRDefault="00000000">
            <w:pPr>
              <w:spacing w:before="40" w:after="40"/>
            </w:pPr>
            <w:r>
              <w:rPr>
                <w:b/>
                <w:sz w:val="20"/>
              </w:rPr>
              <w:t>UI build &amp; integration setup</w:t>
            </w:r>
          </w:p>
        </w:tc>
        <w:tc>
          <w:tcPr>
            <w:tcW w:w="3324" w:type="dxa"/>
          </w:tcPr>
          <w:p w14:paraId="7B097621" w14:textId="77777777" w:rsidR="00E85EA8" w:rsidRDefault="00000000">
            <w:pPr>
              <w:spacing w:before="40" w:after="40"/>
            </w:pPr>
            <w:r>
              <w:rPr>
                <w:sz w:val="19"/>
              </w:rPr>
              <w:t>Finalise screens from the approved prototype; design system &amp; navigation; authentication; notification scaffolding; backend API integration kickoff.</w:t>
            </w:r>
          </w:p>
        </w:tc>
      </w:tr>
      <w:tr w:rsidR="00E85EA8" w14:paraId="13837DC7" w14:textId="77777777">
        <w:trPr>
          <w:jc w:val="center"/>
        </w:trPr>
        <w:tc>
          <w:tcPr>
            <w:tcW w:w="3324" w:type="dxa"/>
            <w:shd w:val="clear" w:color="auto" w:fill="F4F7F6"/>
          </w:tcPr>
          <w:p w14:paraId="38815709" w14:textId="77777777" w:rsidR="00E85EA8" w:rsidRDefault="00000000">
            <w:pPr>
              <w:spacing w:before="40" w:after="40"/>
            </w:pPr>
            <w:r>
              <w:rPr>
                <w:b/>
                <w:color w:val="0B2545"/>
                <w:sz w:val="20"/>
              </w:rPr>
              <w:t>Week 2</w:t>
            </w:r>
          </w:p>
        </w:tc>
        <w:tc>
          <w:tcPr>
            <w:tcW w:w="3324" w:type="dxa"/>
            <w:shd w:val="clear" w:color="auto" w:fill="F4F7F6"/>
          </w:tcPr>
          <w:p w14:paraId="54F4C125" w14:textId="77777777" w:rsidR="00E85EA8" w:rsidRDefault="00000000">
            <w:pPr>
              <w:spacing w:before="40" w:after="40"/>
            </w:pPr>
            <w:r>
              <w:rPr>
                <w:b/>
                <w:sz w:val="20"/>
              </w:rPr>
              <w:t>Core development I</w:t>
            </w:r>
          </w:p>
        </w:tc>
        <w:tc>
          <w:tcPr>
            <w:tcW w:w="3324" w:type="dxa"/>
            <w:shd w:val="clear" w:color="auto" w:fill="F4F7F6"/>
          </w:tcPr>
          <w:p w14:paraId="4CA29037" w14:textId="77777777" w:rsidR="00E85EA8" w:rsidRDefault="00000000">
            <w:pPr>
              <w:spacing w:before="40" w:after="40"/>
            </w:pPr>
            <w:r>
              <w:rPr>
                <w:sz w:val="19"/>
              </w:rPr>
              <w:t>Home / My Tasks, calendar, approvals &amp; workflows, push notifications &amp; deep-linking, chat.</w:t>
            </w:r>
          </w:p>
        </w:tc>
      </w:tr>
      <w:tr w:rsidR="00E85EA8" w14:paraId="16B80E56" w14:textId="77777777">
        <w:trPr>
          <w:jc w:val="center"/>
        </w:trPr>
        <w:tc>
          <w:tcPr>
            <w:tcW w:w="3324" w:type="dxa"/>
          </w:tcPr>
          <w:p w14:paraId="367CEF12" w14:textId="77777777" w:rsidR="00E85EA8" w:rsidRDefault="00000000">
            <w:pPr>
              <w:spacing w:before="40" w:after="40"/>
            </w:pPr>
            <w:r>
              <w:rPr>
                <w:b/>
                <w:color w:val="0B2545"/>
                <w:sz w:val="20"/>
              </w:rPr>
              <w:t>Week 3</w:t>
            </w:r>
          </w:p>
        </w:tc>
        <w:tc>
          <w:tcPr>
            <w:tcW w:w="3324" w:type="dxa"/>
          </w:tcPr>
          <w:p w14:paraId="71EC4CB8" w14:textId="77777777" w:rsidR="00E85EA8" w:rsidRDefault="00000000">
            <w:pPr>
              <w:spacing w:before="40" w:after="40"/>
            </w:pPr>
            <w:r>
              <w:rPr>
                <w:b/>
                <w:sz w:val="20"/>
              </w:rPr>
              <w:t>Core development II</w:t>
            </w:r>
          </w:p>
        </w:tc>
        <w:tc>
          <w:tcPr>
            <w:tcW w:w="3324" w:type="dxa"/>
          </w:tcPr>
          <w:p w14:paraId="11481E1E" w14:textId="77777777" w:rsidR="00E85EA8" w:rsidRDefault="00000000">
            <w:pPr>
              <w:spacing w:before="40" w:after="40"/>
            </w:pPr>
            <w:r>
              <w:rPr>
                <w:sz w:val="19"/>
              </w:rPr>
              <w:t>Registers (risk, COI, complaints — create + workflow handling), policies, meetings, training, expenses, billing and role-based gating. Feature-complete build.</w:t>
            </w:r>
          </w:p>
        </w:tc>
      </w:tr>
      <w:tr w:rsidR="00E85EA8" w14:paraId="023E19C8" w14:textId="77777777">
        <w:trPr>
          <w:jc w:val="center"/>
        </w:trPr>
        <w:tc>
          <w:tcPr>
            <w:tcW w:w="3324" w:type="dxa"/>
            <w:shd w:val="clear" w:color="auto" w:fill="F4F7F6"/>
          </w:tcPr>
          <w:p w14:paraId="2E0ABDE1" w14:textId="77777777" w:rsidR="00E85EA8" w:rsidRDefault="00000000">
            <w:pPr>
              <w:spacing w:before="40" w:after="40"/>
            </w:pPr>
            <w:r>
              <w:rPr>
                <w:b/>
                <w:color w:val="0B2545"/>
                <w:sz w:val="20"/>
              </w:rPr>
              <w:t>Week 4</w:t>
            </w:r>
          </w:p>
        </w:tc>
        <w:tc>
          <w:tcPr>
            <w:tcW w:w="3324" w:type="dxa"/>
            <w:shd w:val="clear" w:color="auto" w:fill="F4F7F6"/>
          </w:tcPr>
          <w:p w14:paraId="6D2322E6" w14:textId="77777777" w:rsidR="00E85EA8" w:rsidRDefault="00000000">
            <w:pPr>
              <w:spacing w:before="40" w:after="40"/>
            </w:pPr>
            <w:r>
              <w:rPr>
                <w:b/>
                <w:sz w:val="20"/>
              </w:rPr>
              <w:t>UAT, QA &amp; release</w:t>
            </w:r>
          </w:p>
        </w:tc>
        <w:tc>
          <w:tcPr>
            <w:tcW w:w="3324" w:type="dxa"/>
            <w:shd w:val="clear" w:color="auto" w:fill="F4F7F6"/>
          </w:tcPr>
          <w:p w14:paraId="77FEBA4D" w14:textId="77777777" w:rsidR="00E85EA8" w:rsidRDefault="00000000">
            <w:pPr>
              <w:spacing w:before="40" w:after="40"/>
            </w:pPr>
            <w:r>
              <w:rPr>
                <w:sz w:val="19"/>
              </w:rPr>
              <w:t>Full QA across iOS &amp; Android, client UAT, bug-fix cycles, app-store submission preparation and sign-off.</w:t>
            </w:r>
          </w:p>
        </w:tc>
      </w:tr>
    </w:tbl>
    <w:p w14:paraId="236FC03C" w14:textId="77777777" w:rsidR="00E85EA8" w:rsidRDefault="00000000">
      <w:pPr>
        <w:spacing w:after="40"/>
      </w:pPr>
      <w:r>
        <w:rPr>
          <w:i/>
          <w:color w:val="5A6675"/>
          <w:sz w:val="19"/>
        </w:rPr>
        <w:t>Milestones:  Kickoff (start of Week 1)  •  Feature-complete (end of Week 3)  •  UAT commences (start of Week 4)  •  Go-live / acceptance (end of Week 4).</w:t>
      </w:r>
    </w:p>
    <w:p w14:paraId="112E8895" w14:textId="77777777" w:rsidR="00E85EA8" w:rsidRDefault="00000000">
      <w:pPr>
        <w:pBdr>
          <w:bottom w:val="single" w:sz="12" w:space="3" w:color="1F8A7E"/>
        </w:pBdr>
        <w:spacing w:before="240" w:after="80"/>
      </w:pPr>
      <w:r>
        <w:rPr>
          <w:b/>
          <w:color w:val="0B2545"/>
          <w:sz w:val="27"/>
        </w:rPr>
        <w:t>5.  App store submission &amp; approval (Apple &amp; Google)</w:t>
      </w:r>
    </w:p>
    <w:p w14:paraId="413A6AE2" w14:textId="680081B6" w:rsidR="00E85EA8" w:rsidRDefault="00000000">
      <w:r>
        <w:t>Publishing to the Apple App Store and Google Play requires a review and approval by Apple and Google. This review is performed by the stores themselves and is outside our control</w:t>
      </w:r>
      <w:r w:rsidR="00736CE1">
        <w:t>;</w:t>
      </w:r>
      <w:r>
        <w:t xml:space="preserve"> and therefore it sits separate to, and runs after, the four-week delivery timeline above. We prepare and lodge the store submissions during Week 4 (UAT &amp; QA); the review clock then starts once each store accepts the build.</w:t>
      </w:r>
    </w:p>
    <w:tbl>
      <w:tblPr>
        <w:tblStyle w:val="TableGrid"/>
        <w:tblW w:w="0" w:type="auto"/>
        <w:jc w:val="center"/>
        <w:tblLook w:val="04A0" w:firstRow="1" w:lastRow="0" w:firstColumn="1" w:lastColumn="0" w:noHBand="0" w:noVBand="1"/>
      </w:tblPr>
      <w:tblGrid>
        <w:gridCol w:w="3324"/>
        <w:gridCol w:w="3324"/>
        <w:gridCol w:w="3324"/>
      </w:tblGrid>
      <w:tr w:rsidR="00E85EA8" w14:paraId="0B4188BD" w14:textId="77777777">
        <w:trPr>
          <w:jc w:val="center"/>
        </w:trPr>
        <w:tc>
          <w:tcPr>
            <w:tcW w:w="3324" w:type="dxa"/>
            <w:shd w:val="clear" w:color="auto" w:fill="1F8A7E"/>
          </w:tcPr>
          <w:p w14:paraId="79234720" w14:textId="77777777" w:rsidR="00E85EA8" w:rsidRDefault="00000000">
            <w:pPr>
              <w:spacing w:before="40" w:after="40"/>
            </w:pPr>
            <w:r>
              <w:rPr>
                <w:b/>
                <w:color w:val="FFFFFF"/>
                <w:sz w:val="20"/>
              </w:rPr>
              <w:t>Store</w:t>
            </w:r>
          </w:p>
        </w:tc>
        <w:tc>
          <w:tcPr>
            <w:tcW w:w="3324" w:type="dxa"/>
            <w:shd w:val="clear" w:color="auto" w:fill="1F8A7E"/>
          </w:tcPr>
          <w:p w14:paraId="596C8D76" w14:textId="77777777" w:rsidR="00E85EA8" w:rsidRDefault="00000000">
            <w:pPr>
              <w:spacing w:before="40" w:after="40"/>
            </w:pPr>
            <w:r>
              <w:rPr>
                <w:b/>
                <w:color w:val="FFFFFF"/>
                <w:sz w:val="20"/>
              </w:rPr>
              <w:t>Typical review window</w:t>
            </w:r>
          </w:p>
        </w:tc>
        <w:tc>
          <w:tcPr>
            <w:tcW w:w="3324" w:type="dxa"/>
            <w:shd w:val="clear" w:color="auto" w:fill="1F8A7E"/>
          </w:tcPr>
          <w:p w14:paraId="347BC501" w14:textId="77777777" w:rsidR="00E85EA8" w:rsidRDefault="00000000">
            <w:pPr>
              <w:spacing w:before="40" w:after="40"/>
            </w:pPr>
            <w:r>
              <w:rPr>
                <w:b/>
                <w:color w:val="FFFFFF"/>
                <w:sz w:val="20"/>
              </w:rPr>
              <w:t>Notes</w:t>
            </w:r>
          </w:p>
        </w:tc>
      </w:tr>
      <w:tr w:rsidR="00E85EA8" w14:paraId="65C8B574" w14:textId="77777777">
        <w:trPr>
          <w:jc w:val="center"/>
        </w:trPr>
        <w:tc>
          <w:tcPr>
            <w:tcW w:w="3324" w:type="dxa"/>
          </w:tcPr>
          <w:p w14:paraId="6C27782D" w14:textId="77777777" w:rsidR="00E85EA8" w:rsidRDefault="00000000">
            <w:pPr>
              <w:spacing w:before="40" w:after="40"/>
            </w:pPr>
            <w:r>
              <w:rPr>
                <w:b/>
                <w:color w:val="0B2545"/>
                <w:sz w:val="20"/>
              </w:rPr>
              <w:t>Apple App Store</w:t>
            </w:r>
          </w:p>
        </w:tc>
        <w:tc>
          <w:tcPr>
            <w:tcW w:w="3324" w:type="dxa"/>
          </w:tcPr>
          <w:p w14:paraId="413A350F" w14:textId="77777777" w:rsidR="00E85EA8" w:rsidRDefault="00000000">
            <w:pPr>
              <w:spacing w:before="40" w:after="40"/>
            </w:pPr>
            <w:r>
              <w:rPr>
                <w:sz w:val="20"/>
              </w:rPr>
              <w:t>1–3 business days</w:t>
            </w:r>
          </w:p>
        </w:tc>
        <w:tc>
          <w:tcPr>
            <w:tcW w:w="3324" w:type="dxa"/>
          </w:tcPr>
          <w:p w14:paraId="71124AB3" w14:textId="77777777" w:rsidR="00E85EA8" w:rsidRDefault="00000000">
            <w:pPr>
              <w:spacing w:before="40" w:after="40"/>
            </w:pPr>
            <w:r>
              <w:rPr>
                <w:sz w:val="19"/>
              </w:rPr>
              <w:t>First-ever submission can take longer; rejections add a further review cycle.</w:t>
            </w:r>
          </w:p>
        </w:tc>
      </w:tr>
      <w:tr w:rsidR="00E85EA8" w14:paraId="61762760" w14:textId="77777777">
        <w:trPr>
          <w:jc w:val="center"/>
        </w:trPr>
        <w:tc>
          <w:tcPr>
            <w:tcW w:w="3324" w:type="dxa"/>
            <w:shd w:val="clear" w:color="auto" w:fill="F4F7F6"/>
          </w:tcPr>
          <w:p w14:paraId="5FE609DE" w14:textId="77777777" w:rsidR="00E85EA8" w:rsidRDefault="00000000">
            <w:pPr>
              <w:spacing w:before="40" w:after="40"/>
            </w:pPr>
            <w:r>
              <w:rPr>
                <w:b/>
                <w:color w:val="0B2545"/>
                <w:sz w:val="20"/>
              </w:rPr>
              <w:t>Google Play</w:t>
            </w:r>
          </w:p>
        </w:tc>
        <w:tc>
          <w:tcPr>
            <w:tcW w:w="3324" w:type="dxa"/>
            <w:shd w:val="clear" w:color="auto" w:fill="F4F7F6"/>
          </w:tcPr>
          <w:p w14:paraId="1715649D" w14:textId="77777777" w:rsidR="00E85EA8" w:rsidRDefault="00000000">
            <w:pPr>
              <w:spacing w:before="40" w:after="40"/>
            </w:pPr>
            <w:r>
              <w:rPr>
                <w:sz w:val="20"/>
              </w:rPr>
              <w:t>A few hours – 3 days</w:t>
            </w:r>
          </w:p>
        </w:tc>
        <w:tc>
          <w:tcPr>
            <w:tcW w:w="3324" w:type="dxa"/>
            <w:shd w:val="clear" w:color="auto" w:fill="F4F7F6"/>
          </w:tcPr>
          <w:p w14:paraId="2AC1A225" w14:textId="77777777" w:rsidR="00E85EA8" w:rsidRDefault="00000000">
            <w:pPr>
              <w:spacing w:before="40" w:after="40"/>
            </w:pPr>
            <w:r>
              <w:rPr>
                <w:sz w:val="19"/>
              </w:rPr>
              <w:t xml:space="preserve">New developer accounts may be held </w:t>
            </w:r>
            <w:r>
              <w:rPr>
                <w:sz w:val="19"/>
              </w:rPr>
              <w:lastRenderedPageBreak/>
              <w:t>for extended review (up to ~7 days).</w:t>
            </w:r>
          </w:p>
        </w:tc>
      </w:tr>
    </w:tbl>
    <w:p w14:paraId="0CD18816" w14:textId="77777777" w:rsidR="00E85EA8" w:rsidRDefault="00000000">
      <w:pPr>
        <w:spacing w:after="40"/>
      </w:pPr>
      <w:r>
        <w:rPr>
          <w:i/>
          <w:color w:val="5A6675"/>
          <w:sz w:val="19"/>
        </w:rPr>
        <w:lastRenderedPageBreak/>
        <w:t>Indicative allowance for store approval: approximately 1 week after go-live, separate to the development timeline. Prerequisites — supplied by the client before submission — are an active Apple Developer Program account and a Google Play Console account, together with final store-listing assets (icon, screenshots, description and privacy policy). We manage the submission, respond to reviewer queries and handle one resubmission per store if required.</w:t>
      </w:r>
    </w:p>
    <w:p w14:paraId="5D5E7148" w14:textId="77777777" w:rsidR="00E85EA8" w:rsidRDefault="00000000">
      <w:pPr>
        <w:pBdr>
          <w:bottom w:val="single" w:sz="12" w:space="3" w:color="1F8A7E"/>
        </w:pBdr>
        <w:spacing w:before="240" w:after="80"/>
      </w:pPr>
      <w:r>
        <w:rPr>
          <w:b/>
          <w:color w:val="0B2545"/>
          <w:sz w:val="27"/>
        </w:rPr>
        <w:t>6.  Commercials</w:t>
      </w:r>
    </w:p>
    <w:p w14:paraId="0B2CC754" w14:textId="77777777" w:rsidR="00E85EA8" w:rsidRDefault="00000000">
      <w:pPr>
        <w:spacing w:after="80"/>
      </w:pPr>
      <w:r>
        <w:t>Engagement model: fixed-price, Phase 1. All amounts are in Australian dollars (AUD) and exclude GST.</w:t>
      </w:r>
    </w:p>
    <w:p w14:paraId="4FE791C5" w14:textId="77777777" w:rsidR="00E85EA8" w:rsidRDefault="00000000">
      <w:pPr>
        <w:spacing w:after="80"/>
      </w:pPr>
      <w:r>
        <w:rPr>
          <w:i/>
          <w:color w:val="B04A1A"/>
          <w:sz w:val="19"/>
        </w:rPr>
        <w:t>Indicative pricing — to be confirmed before issuing to the client.</w:t>
      </w:r>
    </w:p>
    <w:tbl>
      <w:tblPr>
        <w:tblStyle w:val="TableGrid"/>
        <w:tblW w:w="0" w:type="auto"/>
        <w:jc w:val="center"/>
        <w:tblLook w:val="04A0" w:firstRow="1" w:lastRow="0" w:firstColumn="1" w:lastColumn="0" w:noHBand="0" w:noVBand="1"/>
      </w:tblPr>
      <w:tblGrid>
        <w:gridCol w:w="4986"/>
        <w:gridCol w:w="4986"/>
      </w:tblGrid>
      <w:tr w:rsidR="00E85EA8" w14:paraId="79A21BD7" w14:textId="77777777">
        <w:trPr>
          <w:jc w:val="center"/>
        </w:trPr>
        <w:tc>
          <w:tcPr>
            <w:tcW w:w="4986" w:type="dxa"/>
            <w:shd w:val="clear" w:color="auto" w:fill="1F8A7E"/>
          </w:tcPr>
          <w:p w14:paraId="01D00B83" w14:textId="77777777" w:rsidR="00E85EA8" w:rsidRDefault="00000000">
            <w:pPr>
              <w:spacing w:before="40" w:after="40"/>
            </w:pPr>
            <w:r>
              <w:rPr>
                <w:b/>
                <w:color w:val="FFFFFF"/>
                <w:sz w:val="20"/>
              </w:rPr>
              <w:t>Deliverable</w:t>
            </w:r>
          </w:p>
        </w:tc>
        <w:tc>
          <w:tcPr>
            <w:tcW w:w="4986" w:type="dxa"/>
            <w:shd w:val="clear" w:color="auto" w:fill="1F8A7E"/>
          </w:tcPr>
          <w:p w14:paraId="25564502" w14:textId="77777777" w:rsidR="00E85EA8" w:rsidRDefault="00000000">
            <w:pPr>
              <w:spacing w:before="40" w:after="40"/>
              <w:jc w:val="right"/>
            </w:pPr>
            <w:r>
              <w:rPr>
                <w:b/>
                <w:color w:val="FFFFFF"/>
                <w:sz w:val="20"/>
              </w:rPr>
              <w:t>Fee (AUD, ex GST)</w:t>
            </w:r>
          </w:p>
        </w:tc>
      </w:tr>
      <w:tr w:rsidR="00E85EA8" w14:paraId="046C8AB8" w14:textId="77777777">
        <w:trPr>
          <w:jc w:val="center"/>
        </w:trPr>
        <w:tc>
          <w:tcPr>
            <w:tcW w:w="4986" w:type="dxa"/>
          </w:tcPr>
          <w:p w14:paraId="5B130E33" w14:textId="77777777" w:rsidR="00E85EA8" w:rsidRDefault="00000000">
            <w:pPr>
              <w:spacing w:before="40" w:after="40"/>
            </w:pPr>
            <w:r>
              <w:rPr>
                <w:sz w:val="20"/>
              </w:rPr>
              <w:t>UI build &amp; integration setup (Week 1)</w:t>
            </w:r>
          </w:p>
        </w:tc>
        <w:tc>
          <w:tcPr>
            <w:tcW w:w="4986" w:type="dxa"/>
          </w:tcPr>
          <w:p w14:paraId="0514A78D" w14:textId="77777777" w:rsidR="00E85EA8" w:rsidRDefault="00000000">
            <w:pPr>
              <w:spacing w:before="40" w:after="40"/>
              <w:jc w:val="right"/>
            </w:pPr>
            <w:r>
              <w:rPr>
                <w:sz w:val="20"/>
              </w:rPr>
              <w:t>$6,000</w:t>
            </w:r>
          </w:p>
        </w:tc>
      </w:tr>
      <w:tr w:rsidR="00E85EA8" w14:paraId="396A9FE7" w14:textId="77777777">
        <w:trPr>
          <w:jc w:val="center"/>
        </w:trPr>
        <w:tc>
          <w:tcPr>
            <w:tcW w:w="4986" w:type="dxa"/>
            <w:shd w:val="clear" w:color="auto" w:fill="F4F7F6"/>
          </w:tcPr>
          <w:p w14:paraId="531254B0" w14:textId="77777777" w:rsidR="00E85EA8" w:rsidRDefault="00000000">
            <w:pPr>
              <w:spacing w:before="40" w:after="40"/>
            </w:pPr>
            <w:r>
              <w:rPr>
                <w:sz w:val="20"/>
              </w:rPr>
              <w:t>Core development (Weeks 2–3)</w:t>
            </w:r>
          </w:p>
        </w:tc>
        <w:tc>
          <w:tcPr>
            <w:tcW w:w="4986" w:type="dxa"/>
            <w:shd w:val="clear" w:color="auto" w:fill="F4F7F6"/>
          </w:tcPr>
          <w:p w14:paraId="0147C559" w14:textId="77777777" w:rsidR="00E85EA8" w:rsidRDefault="00000000">
            <w:pPr>
              <w:spacing w:before="40" w:after="40"/>
              <w:jc w:val="right"/>
            </w:pPr>
            <w:r>
              <w:rPr>
                <w:sz w:val="20"/>
              </w:rPr>
              <w:t>$12,000</w:t>
            </w:r>
          </w:p>
        </w:tc>
      </w:tr>
      <w:tr w:rsidR="00E85EA8" w14:paraId="6CCE13A4" w14:textId="77777777">
        <w:trPr>
          <w:jc w:val="center"/>
        </w:trPr>
        <w:tc>
          <w:tcPr>
            <w:tcW w:w="4986" w:type="dxa"/>
          </w:tcPr>
          <w:p w14:paraId="4A854014" w14:textId="77777777" w:rsidR="00E85EA8" w:rsidRDefault="00000000">
            <w:pPr>
              <w:spacing w:before="40" w:after="40"/>
            </w:pPr>
            <w:r>
              <w:rPr>
                <w:sz w:val="20"/>
              </w:rPr>
              <w:t>UAT, QA &amp; release (Week 4)</w:t>
            </w:r>
          </w:p>
        </w:tc>
        <w:tc>
          <w:tcPr>
            <w:tcW w:w="4986" w:type="dxa"/>
          </w:tcPr>
          <w:p w14:paraId="74F8186D" w14:textId="77777777" w:rsidR="00E85EA8" w:rsidRDefault="00000000">
            <w:pPr>
              <w:spacing w:before="40" w:after="40"/>
              <w:jc w:val="right"/>
            </w:pPr>
            <w:r>
              <w:rPr>
                <w:sz w:val="20"/>
              </w:rPr>
              <w:t>$6,000</w:t>
            </w:r>
          </w:p>
        </w:tc>
      </w:tr>
      <w:tr w:rsidR="00E85EA8" w14:paraId="5C7C622E" w14:textId="77777777">
        <w:trPr>
          <w:jc w:val="center"/>
        </w:trPr>
        <w:tc>
          <w:tcPr>
            <w:tcW w:w="4986" w:type="dxa"/>
            <w:shd w:val="clear" w:color="auto" w:fill="EAF3F1"/>
          </w:tcPr>
          <w:p w14:paraId="38D47922" w14:textId="77777777" w:rsidR="00E85EA8" w:rsidRDefault="00000000">
            <w:pPr>
              <w:spacing w:before="40" w:after="40"/>
            </w:pPr>
            <w:r>
              <w:rPr>
                <w:b/>
                <w:color w:val="0B2545"/>
              </w:rPr>
              <w:t>Total fixed fee (ex GST)</w:t>
            </w:r>
          </w:p>
        </w:tc>
        <w:tc>
          <w:tcPr>
            <w:tcW w:w="4986" w:type="dxa"/>
            <w:shd w:val="clear" w:color="auto" w:fill="EAF3F1"/>
          </w:tcPr>
          <w:p w14:paraId="4A37DF3F" w14:textId="77777777" w:rsidR="00E85EA8" w:rsidRDefault="00000000">
            <w:pPr>
              <w:spacing w:before="40" w:after="40"/>
              <w:jc w:val="right"/>
            </w:pPr>
            <w:r>
              <w:rPr>
                <w:b/>
                <w:color w:val="0B2545"/>
              </w:rPr>
              <w:t>$24,000 AUD</w:t>
            </w:r>
          </w:p>
        </w:tc>
      </w:tr>
    </w:tbl>
    <w:p w14:paraId="2ACF66F0" w14:textId="77777777" w:rsidR="00E85EA8" w:rsidRDefault="00000000">
      <w:pPr>
        <w:spacing w:before="140" w:after="40"/>
      </w:pPr>
      <w:r>
        <w:rPr>
          <w:b/>
          <w:color w:val="1F8A7E"/>
        </w:rPr>
        <w:t>Payment schedule</w:t>
      </w:r>
    </w:p>
    <w:p w14:paraId="71ACD210" w14:textId="77777777" w:rsidR="00E85EA8" w:rsidRDefault="00000000">
      <w:pPr>
        <w:pStyle w:val="ListBullet"/>
        <w:spacing w:after="40" w:line="264" w:lineRule="auto"/>
      </w:pPr>
      <w:r>
        <w:t>50% on commencement — $12,000 AUD.</w:t>
      </w:r>
    </w:p>
    <w:p w14:paraId="0E039797" w14:textId="77777777" w:rsidR="00E85EA8" w:rsidRDefault="00000000">
      <w:pPr>
        <w:pStyle w:val="ListBullet"/>
        <w:spacing w:after="40" w:line="264" w:lineRule="auto"/>
      </w:pPr>
      <w:r>
        <w:t>30% at UAT commencement (start of Week 4) — $7,200 AUD.</w:t>
      </w:r>
    </w:p>
    <w:p w14:paraId="3ADB455C" w14:textId="77777777" w:rsidR="00E85EA8" w:rsidRDefault="00000000">
      <w:pPr>
        <w:pStyle w:val="ListBullet"/>
        <w:spacing w:after="40" w:line="264" w:lineRule="auto"/>
      </w:pPr>
      <w:r>
        <w:t>20% on acceptance / go-live — $4,800 AUD.</w:t>
      </w:r>
    </w:p>
    <w:p w14:paraId="0900BB88" w14:textId="77777777" w:rsidR="00E85EA8" w:rsidRDefault="00000000">
      <w:pPr>
        <w:spacing w:before="140" w:after="40"/>
      </w:pPr>
      <w:r>
        <w:rPr>
          <w:b/>
          <w:color w:val="1F8A7E"/>
        </w:rPr>
        <w:t>Included</w:t>
      </w:r>
    </w:p>
    <w:p w14:paraId="7C271377" w14:textId="77777777" w:rsidR="00E85EA8" w:rsidRDefault="00000000">
      <w:pPr>
        <w:pStyle w:val="ListBullet"/>
        <w:spacing w:after="40" w:line="264" w:lineRule="auto"/>
      </w:pPr>
      <w:r>
        <w:t>Project management, design polish from the approved prototype, and a single cross-platform build (iOS + Android).</w:t>
      </w:r>
    </w:p>
    <w:p w14:paraId="0222ABE1" w14:textId="77777777" w:rsidR="00E85EA8" w:rsidRDefault="00000000">
      <w:pPr>
        <w:pStyle w:val="ListBullet"/>
        <w:spacing w:after="40" w:line="264" w:lineRule="auto"/>
      </w:pPr>
      <w:r>
        <w:t>Integration with the existing Stewardex backend, QA across both platforms, and UAT support.</w:t>
      </w:r>
    </w:p>
    <w:p w14:paraId="07287CBB" w14:textId="77777777" w:rsidR="00E85EA8" w:rsidRDefault="00000000">
      <w:pPr>
        <w:pStyle w:val="ListBullet"/>
        <w:spacing w:after="40" w:line="264" w:lineRule="auto"/>
      </w:pPr>
      <w:r>
        <w:t>One submission per app store and a 2-week post-launch warranty for defect fixes.</w:t>
      </w:r>
    </w:p>
    <w:p w14:paraId="3745C8EF" w14:textId="77777777" w:rsidR="00E85EA8" w:rsidRDefault="00000000">
      <w:pPr>
        <w:spacing w:before="140" w:after="40"/>
      </w:pPr>
      <w:r>
        <w:rPr>
          <w:b/>
          <w:color w:val="1F8A7E"/>
        </w:rPr>
        <w:t>Optional add-ons (quoted separately)</w:t>
      </w:r>
    </w:p>
    <w:p w14:paraId="0B3A4FBC" w14:textId="77777777" w:rsidR="00E85EA8" w:rsidRDefault="00000000">
      <w:pPr>
        <w:pStyle w:val="ListBullet"/>
        <w:spacing w:after="40" w:line="264" w:lineRule="auto"/>
      </w:pPr>
      <w:r>
        <w:t>Project Delivery register (full mobile view).</w:t>
      </w:r>
    </w:p>
    <w:p w14:paraId="57119E76" w14:textId="77777777" w:rsidR="00E85EA8" w:rsidRDefault="00000000">
      <w:pPr>
        <w:pStyle w:val="ListBullet"/>
        <w:spacing w:after="40" w:line="264" w:lineRule="auto"/>
      </w:pPr>
      <w:r>
        <w:t>Advanced reporting / fiscal dashboards on mobile.</w:t>
      </w:r>
    </w:p>
    <w:p w14:paraId="59F8F36D" w14:textId="77777777" w:rsidR="00E85EA8" w:rsidRDefault="00000000">
      <w:pPr>
        <w:pStyle w:val="ListBullet"/>
        <w:spacing w:after="40" w:line="264" w:lineRule="auto"/>
      </w:pPr>
      <w:r>
        <w:t>Additional feature iterations or UAT cycles, charged at an agreed day rate.</w:t>
      </w:r>
    </w:p>
    <w:p w14:paraId="3E9F7F47" w14:textId="77777777" w:rsidR="00E85EA8" w:rsidRDefault="00000000">
      <w:pPr>
        <w:pBdr>
          <w:bottom w:val="single" w:sz="12" w:space="3" w:color="1F8A7E"/>
        </w:pBdr>
        <w:spacing w:before="240" w:after="80"/>
      </w:pPr>
      <w:r>
        <w:rPr>
          <w:b/>
          <w:color w:val="0B2545"/>
          <w:sz w:val="27"/>
        </w:rPr>
        <w:t>7.  Assumptions &amp; dependencies</w:t>
      </w:r>
    </w:p>
    <w:p w14:paraId="07E2A91A" w14:textId="77777777" w:rsidR="00E85EA8" w:rsidRDefault="00000000">
      <w:pPr>
        <w:pStyle w:val="ListBullet"/>
        <w:spacing w:after="40" w:line="264" w:lineRule="auto"/>
      </w:pPr>
      <w:r>
        <w:t>The interactive prototype is the approved design baseline for Phase 1.</w:t>
      </w:r>
    </w:p>
    <w:p w14:paraId="1D7E09E9" w14:textId="77777777" w:rsidR="00E85EA8" w:rsidRDefault="00000000">
      <w:pPr>
        <w:pStyle w:val="ListBullet"/>
        <w:spacing w:after="40" w:line="264" w:lineRule="auto"/>
      </w:pPr>
      <w:r>
        <w:t>Existing backend services are available and extended as needed; mobile reuses the current infrastructure.</w:t>
      </w:r>
    </w:p>
    <w:p w14:paraId="074F03B8" w14:textId="77777777" w:rsidR="00E85EA8" w:rsidRDefault="00000000">
      <w:pPr>
        <w:pStyle w:val="ListBullet"/>
        <w:spacing w:after="40" w:line="264" w:lineRule="auto"/>
      </w:pPr>
      <w:r>
        <w:t>The client provides timely UAT feedback within the Week 4 window, and the Apple Developer and Google Play accounts required for store submission.</w:t>
      </w:r>
    </w:p>
    <w:p w14:paraId="7D4E55AC" w14:textId="77777777" w:rsidR="00E85EA8" w:rsidRDefault="00000000">
      <w:pPr>
        <w:pStyle w:val="ListBullet"/>
        <w:spacing w:after="40" w:line="264" w:lineRule="auto"/>
      </w:pPr>
      <w:r>
        <w:t>Content such as training videos and policy documents is supplied by the client.</w:t>
      </w:r>
    </w:p>
    <w:p w14:paraId="4139B1A7" w14:textId="77777777" w:rsidR="00E85EA8" w:rsidRDefault="00000000">
      <w:pPr>
        <w:pStyle w:val="ListBullet"/>
        <w:spacing w:after="40" w:line="264" w:lineRule="auto"/>
      </w:pPr>
      <w:r>
        <w:t>Changes beyond the stated scope are handled via a written change request and may affect timeline and fee.</w:t>
      </w:r>
    </w:p>
    <w:p w14:paraId="5D612B68" w14:textId="77777777" w:rsidR="00E85EA8" w:rsidRDefault="00000000">
      <w:pPr>
        <w:pBdr>
          <w:bottom w:val="single" w:sz="12" w:space="3" w:color="1F8A7E"/>
        </w:pBdr>
        <w:spacing w:before="240" w:after="80"/>
      </w:pPr>
      <w:r>
        <w:rPr>
          <w:b/>
          <w:color w:val="0B2545"/>
          <w:sz w:val="27"/>
        </w:rPr>
        <w:t>8.  Next steps</w:t>
      </w:r>
    </w:p>
    <w:p w14:paraId="73CB2984" w14:textId="77777777" w:rsidR="00E85EA8" w:rsidRDefault="00000000">
      <w:pPr>
        <w:pStyle w:val="ListBullet"/>
        <w:spacing w:after="40" w:line="264" w:lineRule="auto"/>
      </w:pPr>
      <w:r>
        <w:t>Confirm scope and commercials, and countersign this proposal.</w:t>
      </w:r>
    </w:p>
    <w:p w14:paraId="5404AD01" w14:textId="77777777" w:rsidR="00E85EA8" w:rsidRDefault="00000000">
      <w:pPr>
        <w:pStyle w:val="ListBullet"/>
        <w:spacing w:after="40" w:line="264" w:lineRule="auto"/>
      </w:pPr>
      <w:r>
        <w:t>Settle the commencement invoice to schedule the kickoff.</w:t>
      </w:r>
    </w:p>
    <w:p w14:paraId="526DE989" w14:textId="77777777" w:rsidR="00E85EA8" w:rsidRDefault="00000000">
      <w:pPr>
        <w:pStyle w:val="ListBullet"/>
        <w:spacing w:after="40" w:line="264" w:lineRule="auto"/>
      </w:pPr>
      <w:r>
        <w:t>Begin Week 1 — UI build &amp; integration setup, targeting go-live at the end of Week 4.</w:t>
      </w:r>
    </w:p>
    <w:p w14:paraId="5DA5155E" w14:textId="77777777" w:rsidR="00E85EA8" w:rsidRDefault="00E85EA8">
      <w:pPr>
        <w:spacing w:after="120"/>
      </w:pPr>
    </w:p>
    <w:tbl>
      <w:tblPr>
        <w:tblW w:w="0" w:type="auto"/>
        <w:tblLook w:val="04A0" w:firstRow="1" w:lastRow="0" w:firstColumn="1" w:lastColumn="0" w:noHBand="0" w:noVBand="1"/>
      </w:tblPr>
      <w:tblGrid>
        <w:gridCol w:w="4986"/>
        <w:gridCol w:w="4986"/>
      </w:tblGrid>
      <w:tr w:rsidR="00E85EA8" w14:paraId="63DDF497" w14:textId="77777777">
        <w:tc>
          <w:tcPr>
            <w:tcW w:w="4986" w:type="dxa"/>
          </w:tcPr>
          <w:p w14:paraId="2131A6DE" w14:textId="2A0196F1" w:rsidR="00E85EA8" w:rsidRDefault="00000000">
            <w:pPr>
              <w:spacing w:before="40" w:after="40"/>
            </w:pPr>
            <w:r>
              <w:rPr>
                <w:color w:val="5A6675"/>
                <w:sz w:val="18"/>
              </w:rPr>
              <w:br/>
            </w:r>
            <w:r>
              <w:rPr>
                <w:color w:val="5A6675"/>
                <w:sz w:val="18"/>
              </w:rPr>
              <w:lastRenderedPageBreak/>
              <w:br/>
              <w:t>_______________________________</w:t>
            </w:r>
            <w:r>
              <w:rPr>
                <w:color w:val="5A6675"/>
                <w:sz w:val="18"/>
              </w:rPr>
              <w:br/>
              <w:t xml:space="preserve">Accepted for </w:t>
            </w:r>
            <w:r w:rsidR="00736CE1">
              <w:rPr>
                <w:color w:val="5A6675"/>
                <w:sz w:val="18"/>
              </w:rPr>
              <w:t>Mohammed Irfaq</w:t>
            </w:r>
            <w:r>
              <w:rPr>
                <w:color w:val="5A6675"/>
                <w:sz w:val="18"/>
              </w:rPr>
              <w:br/>
              <w:t>Name / Signature / Date</w:t>
            </w:r>
          </w:p>
        </w:tc>
        <w:tc>
          <w:tcPr>
            <w:tcW w:w="4986" w:type="dxa"/>
          </w:tcPr>
          <w:p w14:paraId="08DB65D3" w14:textId="4AA9D9CA" w:rsidR="00E85EA8" w:rsidRDefault="00000000">
            <w:pPr>
              <w:spacing w:before="40" w:after="40"/>
            </w:pPr>
            <w:r>
              <w:rPr>
                <w:color w:val="5A6675"/>
                <w:sz w:val="18"/>
              </w:rPr>
              <w:lastRenderedPageBreak/>
              <w:br/>
            </w:r>
            <w:r>
              <w:rPr>
                <w:color w:val="5A6675"/>
                <w:sz w:val="18"/>
              </w:rPr>
              <w:lastRenderedPageBreak/>
              <w:br/>
              <w:t>_______________________________</w:t>
            </w:r>
            <w:r>
              <w:rPr>
                <w:color w:val="5A6675"/>
                <w:sz w:val="18"/>
              </w:rPr>
              <w:br/>
              <w:t xml:space="preserve">Accepted for </w:t>
            </w:r>
            <w:r w:rsidR="00736CE1">
              <w:rPr>
                <w:color w:val="5A6675"/>
                <w:sz w:val="18"/>
              </w:rPr>
              <w:t>Calcite Technologies</w:t>
            </w:r>
            <w:r>
              <w:rPr>
                <w:color w:val="5A6675"/>
                <w:sz w:val="18"/>
              </w:rPr>
              <w:br/>
              <w:t>Name / Signature / Date</w:t>
            </w:r>
          </w:p>
        </w:tc>
      </w:tr>
    </w:tbl>
    <w:p w14:paraId="54FD33C0" w14:textId="77777777" w:rsidR="00E85EA8" w:rsidRDefault="00000000">
      <w:pPr>
        <w:spacing w:before="200"/>
        <w:jc w:val="center"/>
      </w:pPr>
      <w:r>
        <w:rPr>
          <w:color w:val="5A6675"/>
          <w:sz w:val="16"/>
        </w:rPr>
        <w:lastRenderedPageBreak/>
        <w:t>Stewardex Mobile · Phase 1 Proposal · Confidential</w:t>
      </w:r>
    </w:p>
    <w:sectPr w:rsidR="00E85EA8" w:rsidSect="00034616">
      <w:pgSz w:w="12240" w:h="15840"/>
      <w:pgMar w:top="907"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348F" w14:textId="77777777" w:rsidR="00D534A2" w:rsidRDefault="00D534A2" w:rsidP="00736CE1">
      <w:pPr>
        <w:spacing w:after="0" w:line="240" w:lineRule="auto"/>
      </w:pPr>
      <w:r>
        <w:separator/>
      </w:r>
    </w:p>
  </w:endnote>
  <w:endnote w:type="continuationSeparator" w:id="0">
    <w:p w14:paraId="742E4931" w14:textId="77777777" w:rsidR="00D534A2" w:rsidRDefault="00D534A2" w:rsidP="00736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6CB03" w14:textId="77777777" w:rsidR="00D534A2" w:rsidRDefault="00D534A2" w:rsidP="00736CE1">
      <w:pPr>
        <w:spacing w:after="0" w:line="240" w:lineRule="auto"/>
      </w:pPr>
      <w:r>
        <w:separator/>
      </w:r>
    </w:p>
  </w:footnote>
  <w:footnote w:type="continuationSeparator" w:id="0">
    <w:p w14:paraId="473873F2" w14:textId="77777777" w:rsidR="00D534A2" w:rsidRDefault="00D534A2" w:rsidP="00736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100894">
    <w:abstractNumId w:val="8"/>
  </w:num>
  <w:num w:numId="2" w16cid:durableId="1391422058">
    <w:abstractNumId w:val="6"/>
  </w:num>
  <w:num w:numId="3" w16cid:durableId="1910461003">
    <w:abstractNumId w:val="5"/>
  </w:num>
  <w:num w:numId="4" w16cid:durableId="1989632625">
    <w:abstractNumId w:val="4"/>
  </w:num>
  <w:num w:numId="5" w16cid:durableId="221798369">
    <w:abstractNumId w:val="7"/>
  </w:num>
  <w:num w:numId="6" w16cid:durableId="1782067604">
    <w:abstractNumId w:val="3"/>
  </w:num>
  <w:num w:numId="7" w16cid:durableId="674260139">
    <w:abstractNumId w:val="2"/>
  </w:num>
  <w:num w:numId="8" w16cid:durableId="1875849007">
    <w:abstractNumId w:val="1"/>
  </w:num>
  <w:num w:numId="9" w16cid:durableId="101268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42"/>
    <w:rsid w:val="0015074B"/>
    <w:rsid w:val="0029639D"/>
    <w:rsid w:val="00326F90"/>
    <w:rsid w:val="00736CE1"/>
    <w:rsid w:val="00AA1D8D"/>
    <w:rsid w:val="00B47730"/>
    <w:rsid w:val="00CB0664"/>
    <w:rsid w:val="00D534A2"/>
    <w:rsid w:val="00E85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B5A6B2"/>
  <w14:defaultImageDpi w14:val="300"/>
  <w15:docId w15:val="{91983EA9-5531-4EA1-BF30-2368E1CA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222A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Sohaib Sipra</cp:lastModifiedBy>
  <cp:revision>2</cp:revision>
  <dcterms:created xsi:type="dcterms:W3CDTF">2013-12-23T23:15:00Z</dcterms:created>
  <dcterms:modified xsi:type="dcterms:W3CDTF">2026-06-19T10:16:00Z</dcterms:modified>
  <cp:category/>
</cp:coreProperties>
</file>