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B2545"/>
          <w:sz w:val="46"/>
        </w:rPr>
        <w:t>STEWARDEX — PLANS &amp; PRICING</w:t>
      </w:r>
    </w:p>
    <w:p>
      <w:pPr>
        <w:spacing w:after="40"/>
      </w:pPr>
      <w:r>
        <w:rPr>
          <w:b/>
          <w:color w:val="1F8A7E"/>
          <w:sz w:val="24"/>
        </w:rPr>
        <w:t>Updated plans, new capabilities, and the new Growth plan</w:t>
      </w:r>
    </w:p>
    <w:tbl>
      <w:tblPr>
        <w:tblW w:type="auto" w:w="0"/>
        <w:tblLook w:firstColumn="1" w:firstRow="1" w:lastColumn="0" w:lastRow="0" w:noHBand="0" w:noVBand="1" w:val="04A0"/>
        <w:tblBorders>
          <w:top w:val="none"/>
          <w:left w:val="none"/>
          <w:bottom w:val="none"/>
          <w:right w:val="none"/>
          <w:insideH w:val="none"/>
          <w:insideV w:val="none"/>
        </w:tblBorders>
      </w:tblPr>
      <w:tblGrid>
        <w:gridCol w:w="2550"/>
        <w:gridCol w:w="2550"/>
        <w:gridCol w:w="2550"/>
        <w:gridCol w:w="2550"/>
      </w:tblGrid>
      <w:tr>
        <w:tc>
          <w:tcPr>
            <w:tcW w:type="dxa" w:w="2550"/>
          </w:tcPr>
          <w:p>
            <w:pPr>
              <w:spacing w:after="20" w:before="20"/>
            </w:pPr>
            <w:r/>
            <w:r>
              <w:rPr>
                <w:b/>
                <w:color w:val="5A6675"/>
                <w:sz w:val="16"/>
              </w:rPr>
              <w:t>PREPARED FOR</w:t>
            </w:r>
          </w:p>
        </w:tc>
        <w:tc>
          <w:tcPr>
            <w:tcW w:type="dxa" w:w="2550"/>
          </w:tcPr>
          <w:p>
            <w:pPr>
              <w:spacing w:after="20" w:before="20"/>
            </w:pPr>
            <w:r/>
            <w:r>
              <w:rPr>
                <w:b/>
                <w:color w:val="5A6675"/>
                <w:sz w:val="16"/>
              </w:rPr>
              <w:t>PREPARED BY</w:t>
            </w:r>
          </w:p>
        </w:tc>
        <w:tc>
          <w:tcPr>
            <w:tcW w:type="dxa" w:w="2550"/>
          </w:tcPr>
          <w:p>
            <w:pPr>
              <w:spacing w:after="20" w:before="20"/>
            </w:pPr>
            <w:r/>
            <w:r>
              <w:rPr>
                <w:b/>
                <w:color w:val="5A6675"/>
                <w:sz w:val="16"/>
              </w:rPr>
              <w:t>CURRENCY</w:t>
            </w:r>
          </w:p>
        </w:tc>
        <w:tc>
          <w:tcPr>
            <w:tcW w:type="dxa" w:w="2550"/>
          </w:tcPr>
          <w:p>
            <w:pPr>
              <w:spacing w:after="20" w:before="20"/>
            </w:pPr>
            <w:r/>
            <w:r>
              <w:rPr>
                <w:b/>
                <w:color w:val="5A6675"/>
                <w:sz w:val="16"/>
              </w:rPr>
              <w:t>DATE</w:t>
            </w:r>
          </w:p>
        </w:tc>
      </w:tr>
      <w:tr>
        <w:tc>
          <w:tcPr>
            <w:tcW w:type="dxa" w:w="2550"/>
          </w:tcPr>
          <w:p>
            <w:pPr>
              <w:spacing w:after="20" w:before="20"/>
            </w:pPr>
            <w:r/>
            <w:r>
              <w:rPr>
                <w:b/>
                <w:color w:val="0B2545"/>
                <w:sz w:val="19"/>
              </w:rPr>
              <w:t>[Client name]</w:t>
            </w:r>
          </w:p>
        </w:tc>
        <w:tc>
          <w:tcPr>
            <w:tcW w:type="dxa" w:w="2550"/>
          </w:tcPr>
          <w:p>
            <w:pPr>
              <w:spacing w:after="20" w:before="20"/>
            </w:pPr>
            <w:r/>
            <w:r>
              <w:rPr>
                <w:b/>
                <w:color w:val="0B2545"/>
                <w:sz w:val="19"/>
              </w:rPr>
              <w:t>[Your company]</w:t>
            </w:r>
          </w:p>
        </w:tc>
        <w:tc>
          <w:tcPr>
            <w:tcW w:type="dxa" w:w="2550"/>
          </w:tcPr>
          <w:p>
            <w:pPr>
              <w:spacing w:after="20" w:before="20"/>
            </w:pPr>
            <w:r/>
            <w:r>
              <w:rPr>
                <w:b/>
                <w:color w:val="0B2545"/>
                <w:sz w:val="19"/>
              </w:rPr>
              <w:t>AUD</w:t>
            </w:r>
          </w:p>
        </w:tc>
        <w:tc>
          <w:tcPr>
            <w:tcW w:type="dxa" w:w="2550"/>
          </w:tcPr>
          <w:p>
            <w:pPr>
              <w:spacing w:after="20" w:before="20"/>
            </w:pPr>
            <w:r/>
            <w:r>
              <w:rPr>
                <w:b/>
                <w:color w:val="0B2545"/>
                <w:sz w:val="19"/>
              </w:rPr>
              <w:t>19 June 2026</w:t>
            </w:r>
          </w:p>
        </w:tc>
      </w:tr>
    </w:tbl>
    <w:p>
      <w:pPr>
        <w:spacing w:before="80" w:after="40"/>
        <w:pBdr>
          <w:bottom w:val="single" w:sz="18" w:space="1" w:color="1F8A7E"/>
        </w:pBdr>
      </w:pPr>
    </w:p>
    <w:p>
      <w:pPr>
        <w:spacing w:before="240" w:after="80"/>
        <w:pBdr>
          <w:bottom w:val="single" w:sz="12" w:space="3" w:color="1F8A7E"/>
        </w:pBdr>
      </w:pPr>
      <w:r>
        <w:rPr>
          <w:b/>
          <w:color w:val="0B2545"/>
          <w:sz w:val="27"/>
        </w:rPr>
        <w:t>1.  Overview</w:t>
      </w:r>
    </w:p>
    <w:p>
      <w:pPr>
        <w:spacing w:after="100"/>
      </w:pPr>
      <w:r>
        <w:rPr>
          <w:b w:val="0"/>
          <w:i w:val="0"/>
          <w:color w:val="222A33"/>
          <w:sz w:val="21"/>
        </w:rPr>
        <w:t>Stewardex has grown considerably since the plans were first set. The platform now spans governance and compliance, finance, fundraising and donor management, project and grant delivery, people and volunteers, marketing, team communication, and a companion mobile app. This document sets out the updated plan line-up and current pricing, explains the new capabilities and where they sit, and introduces one new plan — Growth — to give growing charities a natural step up from Foundation.</w:t>
      </w:r>
    </w:p>
    <w:p>
      <w:pPr>
        <w:spacing w:after="80"/>
      </w:pPr>
      <w:r>
        <w:rPr>
          <w:b w:val="0"/>
          <w:i w:val="0"/>
          <w:color w:val="222A33"/>
          <w:sz w:val="21"/>
        </w:rPr>
        <w:t>All prices are in Australian dollars (AUD) and exclude GST. Annual billing is offered at a 10% saving versus paying monthly.</w:t>
      </w:r>
    </w:p>
    <w:p>
      <w:pPr>
        <w:spacing w:before="240" w:after="80"/>
        <w:pBdr>
          <w:bottom w:val="single" w:sz="12" w:space="3" w:color="1F8A7E"/>
        </w:pBdr>
      </w:pPr>
      <w:r>
        <w:rPr>
          <w:b/>
          <w:color w:val="0B2545"/>
          <w:sz w:val="27"/>
        </w:rPr>
        <w:t>2.  Plan line-up &amp; pricing</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531"/>
            <w:shd w:val="clear" w:color="auto" w:fill="1F8A7E"/>
          </w:tcPr>
          <w:p>
            <w:pPr>
              <w:spacing w:after="20" w:before="20"/>
            </w:pPr>
            <w:r/>
            <w:r>
              <w:rPr>
                <w:b/>
                <w:color w:val="FFFFFF"/>
                <w:sz w:val="18"/>
              </w:rPr>
              <w:t>Plan</w:t>
            </w:r>
          </w:p>
        </w:tc>
        <w:tc>
          <w:tcPr>
            <w:tcW w:type="dxa" w:w="1077"/>
            <w:shd w:val="clear" w:color="auto" w:fill="1F8A7E"/>
          </w:tcPr>
          <w:p>
            <w:pPr>
              <w:spacing w:after="20" w:before="20"/>
              <w:jc w:val="center"/>
            </w:pPr>
            <w:r/>
            <w:r>
              <w:rPr>
                <w:b/>
                <w:color w:val="FFFFFF"/>
                <w:sz w:val="18"/>
              </w:rPr>
              <w:t>Monthly</w:t>
            </w:r>
          </w:p>
        </w:tc>
        <w:tc>
          <w:tcPr>
            <w:tcW w:type="dxa" w:w="1134"/>
            <w:shd w:val="clear" w:color="auto" w:fill="1F8A7E"/>
          </w:tcPr>
          <w:p>
            <w:pPr>
              <w:spacing w:after="20" w:before="20"/>
              <w:jc w:val="center"/>
            </w:pPr>
            <w:r/>
            <w:r>
              <w:rPr>
                <w:b/>
                <w:color w:val="FFFFFF"/>
                <w:sz w:val="18"/>
              </w:rPr>
              <w:t>Annual</w:t>
            </w:r>
          </w:p>
        </w:tc>
        <w:tc>
          <w:tcPr>
            <w:tcW w:type="dxa" w:w="2608"/>
            <w:shd w:val="clear" w:color="auto" w:fill="1F8A7E"/>
          </w:tcPr>
          <w:p>
            <w:pPr>
              <w:spacing w:after="20" w:before="20"/>
            </w:pPr>
            <w:r/>
            <w:r>
              <w:rPr>
                <w:b/>
                <w:color w:val="FFFFFF"/>
                <w:sz w:val="18"/>
              </w:rPr>
              <w:t>Best for</w:t>
            </w:r>
          </w:p>
        </w:tc>
        <w:tc>
          <w:tcPr>
            <w:tcW w:type="dxa" w:w="1077"/>
            <w:shd w:val="clear" w:color="auto" w:fill="1F8A7E"/>
          </w:tcPr>
          <w:p>
            <w:pPr>
              <w:spacing w:after="20" w:before="20"/>
              <w:jc w:val="center"/>
            </w:pPr>
            <w:r/>
            <w:r>
              <w:rPr>
                <w:b/>
                <w:color w:val="FFFFFF"/>
                <w:sz w:val="18"/>
              </w:rPr>
              <w:t>Staff seats</w:t>
            </w:r>
          </w:p>
        </w:tc>
        <w:tc>
          <w:tcPr>
            <w:tcW w:type="dxa" w:w="1134"/>
            <w:shd w:val="clear" w:color="auto" w:fill="1F8A7E"/>
          </w:tcPr>
          <w:p>
            <w:pPr>
              <w:spacing w:after="20" w:before="20"/>
              <w:jc w:val="center"/>
            </w:pPr>
            <w:r/>
            <w:r>
              <w:rPr>
                <w:b/>
                <w:color w:val="FFFFFF"/>
                <w:sz w:val="18"/>
              </w:rPr>
              <w:t>Approvals / mo</w:t>
            </w:r>
          </w:p>
        </w:tc>
        <w:tc>
          <w:tcPr>
            <w:tcW w:type="dxa" w:w="1077"/>
            <w:shd w:val="clear" w:color="auto" w:fill="1F8A7E"/>
          </w:tcPr>
          <w:p>
            <w:pPr>
              <w:spacing w:after="20" w:before="20"/>
              <w:jc w:val="center"/>
            </w:pPr>
            <w:r/>
            <w:r>
              <w:rPr>
                <w:b/>
                <w:color w:val="FFFFFF"/>
                <w:sz w:val="18"/>
              </w:rPr>
              <w:t>Storage</w:t>
            </w:r>
          </w:p>
        </w:tc>
      </w:tr>
      <w:tr>
        <w:tc>
          <w:tcPr>
            <w:tcW w:type="dxa" w:w="1531"/>
          </w:tcPr>
          <w:p>
            <w:pPr>
              <w:spacing w:after="20" w:before="20"/>
            </w:pPr>
            <w:r/>
            <w:r>
              <w:rPr>
                <w:b/>
                <w:color w:val="222A33"/>
                <w:sz w:val="18"/>
              </w:rPr>
              <w:t>Foundation</w:t>
            </w:r>
          </w:p>
        </w:tc>
        <w:tc>
          <w:tcPr>
            <w:tcW w:type="dxa" w:w="1077"/>
          </w:tcPr>
          <w:p>
            <w:pPr>
              <w:spacing w:after="20" w:before="20"/>
              <w:jc w:val="center"/>
            </w:pPr>
            <w:r/>
            <w:r>
              <w:rPr>
                <w:b w:val="0"/>
                <w:color w:val="222A33"/>
                <w:sz w:val="18"/>
              </w:rPr>
              <w:t>$299</w:t>
            </w:r>
          </w:p>
        </w:tc>
        <w:tc>
          <w:tcPr>
            <w:tcW w:type="dxa" w:w="1134"/>
          </w:tcPr>
          <w:p>
            <w:pPr>
              <w:spacing w:after="20" w:before="20"/>
              <w:jc w:val="center"/>
            </w:pPr>
            <w:r/>
            <w:r>
              <w:rPr>
                <w:b w:val="0"/>
                <w:color w:val="222A33"/>
                <w:sz w:val="18"/>
              </w:rPr>
              <w:t>$3,229</w:t>
            </w:r>
          </w:p>
        </w:tc>
        <w:tc>
          <w:tcPr>
            <w:tcW w:type="dxa" w:w="2608"/>
          </w:tcPr>
          <w:p>
            <w:pPr>
              <w:spacing w:after="20" w:before="20"/>
            </w:pPr>
            <w:r/>
            <w:r>
              <w:rPr>
                <w:b w:val="0"/>
                <w:color w:val="222A33"/>
                <w:sz w:val="18"/>
              </w:rPr>
              <w:t>Small charities ($50K–$500K)</w:t>
            </w:r>
          </w:p>
        </w:tc>
        <w:tc>
          <w:tcPr>
            <w:tcW w:type="dxa" w:w="1077"/>
          </w:tcPr>
          <w:p>
            <w:pPr>
              <w:spacing w:after="20" w:before="20"/>
              <w:jc w:val="center"/>
            </w:pPr>
            <w:r/>
            <w:r>
              <w:rPr>
                <w:b w:val="0"/>
                <w:color w:val="222A33"/>
                <w:sz w:val="18"/>
              </w:rPr>
              <w:t>5</w:t>
            </w:r>
          </w:p>
        </w:tc>
        <w:tc>
          <w:tcPr>
            <w:tcW w:type="dxa" w:w="1134"/>
          </w:tcPr>
          <w:p>
            <w:pPr>
              <w:spacing w:after="20" w:before="20"/>
              <w:jc w:val="center"/>
            </w:pPr>
            <w:r/>
            <w:r>
              <w:rPr>
                <w:b w:val="0"/>
                <w:color w:val="222A33"/>
                <w:sz w:val="18"/>
              </w:rPr>
              <w:t>50</w:t>
            </w:r>
          </w:p>
        </w:tc>
        <w:tc>
          <w:tcPr>
            <w:tcW w:type="dxa" w:w="1077"/>
          </w:tcPr>
          <w:p>
            <w:pPr>
              <w:spacing w:after="20" w:before="20"/>
              <w:jc w:val="center"/>
            </w:pPr>
            <w:r/>
            <w:r>
              <w:rPr>
                <w:b w:val="0"/>
                <w:color w:val="222A33"/>
                <w:sz w:val="18"/>
              </w:rPr>
              <w:t>20 GB</w:t>
            </w:r>
          </w:p>
        </w:tc>
      </w:tr>
      <w:tr>
        <w:tc>
          <w:tcPr>
            <w:tcW w:type="dxa" w:w="1531"/>
            <w:shd w:val="clear" w:color="auto" w:fill="FBF3E6"/>
          </w:tcPr>
          <w:p>
            <w:pPr>
              <w:spacing w:after="20" w:before="20"/>
            </w:pPr>
            <w:r/>
            <w:r>
              <w:rPr>
                <w:b/>
                <w:color w:val="222A33"/>
                <w:sz w:val="18"/>
              </w:rPr>
              <w:t>Growth  (new)</w:t>
            </w:r>
          </w:p>
        </w:tc>
        <w:tc>
          <w:tcPr>
            <w:tcW w:type="dxa" w:w="1077"/>
            <w:shd w:val="clear" w:color="auto" w:fill="FBF3E6"/>
          </w:tcPr>
          <w:p>
            <w:pPr>
              <w:spacing w:after="20" w:before="20"/>
              <w:jc w:val="center"/>
            </w:pPr>
            <w:r/>
            <w:r>
              <w:rPr>
                <w:b w:val="0"/>
                <w:color w:val="222A33"/>
                <w:sz w:val="18"/>
              </w:rPr>
              <w:t>$699</w:t>
            </w:r>
          </w:p>
        </w:tc>
        <w:tc>
          <w:tcPr>
            <w:tcW w:type="dxa" w:w="1134"/>
            <w:shd w:val="clear" w:color="auto" w:fill="FBF3E6"/>
          </w:tcPr>
          <w:p>
            <w:pPr>
              <w:spacing w:after="20" w:before="20"/>
              <w:jc w:val="center"/>
            </w:pPr>
            <w:r/>
            <w:r>
              <w:rPr>
                <w:b w:val="0"/>
                <w:color w:val="222A33"/>
                <w:sz w:val="18"/>
              </w:rPr>
              <w:t>$7,549</w:t>
            </w:r>
          </w:p>
        </w:tc>
        <w:tc>
          <w:tcPr>
            <w:tcW w:type="dxa" w:w="2608"/>
            <w:shd w:val="clear" w:color="auto" w:fill="FBF3E6"/>
          </w:tcPr>
          <w:p>
            <w:pPr>
              <w:spacing w:after="20" w:before="20"/>
            </w:pPr>
            <w:r/>
            <w:r>
              <w:rPr>
                <w:b w:val="0"/>
                <w:color w:val="222A33"/>
                <w:sz w:val="18"/>
              </w:rPr>
              <w:t>Growing charities ($500K–$1.5M)</w:t>
            </w:r>
          </w:p>
        </w:tc>
        <w:tc>
          <w:tcPr>
            <w:tcW w:type="dxa" w:w="1077"/>
            <w:shd w:val="clear" w:color="auto" w:fill="FBF3E6"/>
          </w:tcPr>
          <w:p>
            <w:pPr>
              <w:spacing w:after="20" w:before="20"/>
              <w:jc w:val="center"/>
            </w:pPr>
            <w:r/>
            <w:r>
              <w:rPr>
                <w:b w:val="0"/>
                <w:color w:val="222A33"/>
                <w:sz w:val="18"/>
              </w:rPr>
              <w:t>12</w:t>
            </w:r>
          </w:p>
        </w:tc>
        <w:tc>
          <w:tcPr>
            <w:tcW w:type="dxa" w:w="1134"/>
            <w:shd w:val="clear" w:color="auto" w:fill="FBF3E6"/>
          </w:tcPr>
          <w:p>
            <w:pPr>
              <w:spacing w:after="20" w:before="20"/>
              <w:jc w:val="center"/>
            </w:pPr>
            <w:r/>
            <w:r>
              <w:rPr>
                <w:b w:val="0"/>
                <w:color w:val="222A33"/>
                <w:sz w:val="18"/>
              </w:rPr>
              <w:t>200</w:t>
            </w:r>
          </w:p>
        </w:tc>
        <w:tc>
          <w:tcPr>
            <w:tcW w:type="dxa" w:w="1077"/>
            <w:shd w:val="clear" w:color="auto" w:fill="FBF3E6"/>
          </w:tcPr>
          <w:p>
            <w:pPr>
              <w:spacing w:after="20" w:before="20"/>
              <w:jc w:val="center"/>
            </w:pPr>
            <w:r/>
            <w:r>
              <w:rPr>
                <w:b w:val="0"/>
                <w:color w:val="222A33"/>
                <w:sz w:val="18"/>
              </w:rPr>
              <w:t>40 GB</w:t>
            </w:r>
          </w:p>
        </w:tc>
      </w:tr>
      <w:tr>
        <w:tc>
          <w:tcPr>
            <w:tcW w:type="dxa" w:w="1531"/>
          </w:tcPr>
          <w:p>
            <w:pPr>
              <w:spacing w:after="20" w:before="20"/>
            </w:pPr>
            <w:r/>
            <w:r>
              <w:rPr>
                <w:b/>
                <w:color w:val="222A33"/>
                <w:sz w:val="18"/>
              </w:rPr>
              <w:t>Professional</w:t>
            </w:r>
          </w:p>
        </w:tc>
        <w:tc>
          <w:tcPr>
            <w:tcW w:type="dxa" w:w="1077"/>
          </w:tcPr>
          <w:p>
            <w:pPr>
              <w:spacing w:after="20" w:before="20"/>
              <w:jc w:val="center"/>
            </w:pPr>
            <w:r/>
            <w:r>
              <w:rPr>
                <w:b w:val="0"/>
                <w:color w:val="222A33"/>
                <w:sz w:val="18"/>
              </w:rPr>
              <w:t>$1,499</w:t>
            </w:r>
          </w:p>
        </w:tc>
        <w:tc>
          <w:tcPr>
            <w:tcW w:type="dxa" w:w="1134"/>
          </w:tcPr>
          <w:p>
            <w:pPr>
              <w:spacing w:after="20" w:before="20"/>
              <w:jc w:val="center"/>
            </w:pPr>
            <w:r/>
            <w:r>
              <w:rPr>
                <w:b w:val="0"/>
                <w:color w:val="222A33"/>
                <w:sz w:val="18"/>
              </w:rPr>
              <w:t>$16,189</w:t>
            </w:r>
          </w:p>
        </w:tc>
        <w:tc>
          <w:tcPr>
            <w:tcW w:type="dxa" w:w="2608"/>
          </w:tcPr>
          <w:p>
            <w:pPr>
              <w:spacing w:after="20" w:before="20"/>
            </w:pPr>
            <w:r/>
            <w:r>
              <w:rPr>
                <w:b w:val="0"/>
                <w:color w:val="222A33"/>
                <w:sz w:val="18"/>
              </w:rPr>
              <w:t>Medium charities ($500K–$3M)</w:t>
            </w:r>
          </w:p>
        </w:tc>
        <w:tc>
          <w:tcPr>
            <w:tcW w:type="dxa" w:w="1077"/>
          </w:tcPr>
          <w:p>
            <w:pPr>
              <w:spacing w:after="20" w:before="20"/>
              <w:jc w:val="center"/>
            </w:pPr>
            <w:r/>
            <w:r>
              <w:rPr>
                <w:b w:val="0"/>
                <w:color w:val="222A33"/>
                <w:sz w:val="18"/>
              </w:rPr>
              <w:t>25</w:t>
            </w:r>
          </w:p>
        </w:tc>
        <w:tc>
          <w:tcPr>
            <w:tcW w:type="dxa" w:w="1134"/>
          </w:tcPr>
          <w:p>
            <w:pPr>
              <w:spacing w:after="20" w:before="20"/>
              <w:jc w:val="center"/>
            </w:pPr>
            <w:r/>
            <w:r>
              <w:rPr>
                <w:b w:val="0"/>
                <w:color w:val="222A33"/>
                <w:sz w:val="18"/>
              </w:rPr>
              <w:t>750</w:t>
            </w:r>
          </w:p>
        </w:tc>
        <w:tc>
          <w:tcPr>
            <w:tcW w:type="dxa" w:w="1077"/>
          </w:tcPr>
          <w:p>
            <w:pPr>
              <w:spacing w:after="20" w:before="20"/>
              <w:jc w:val="center"/>
            </w:pPr>
            <w:r/>
            <w:r>
              <w:rPr>
                <w:b w:val="0"/>
                <w:color w:val="222A33"/>
                <w:sz w:val="18"/>
              </w:rPr>
              <w:t>100 GB</w:t>
            </w:r>
          </w:p>
        </w:tc>
      </w:tr>
      <w:tr>
        <w:tc>
          <w:tcPr>
            <w:tcW w:type="dxa" w:w="1531"/>
            <w:shd w:val="clear" w:color="auto" w:fill="F4F7F6"/>
          </w:tcPr>
          <w:p>
            <w:pPr>
              <w:spacing w:after="20" w:before="20"/>
            </w:pPr>
            <w:r/>
            <w:r>
              <w:rPr>
                <w:b/>
                <w:color w:val="222A33"/>
                <w:sz w:val="18"/>
              </w:rPr>
              <w:t>Enterprise</w:t>
            </w:r>
          </w:p>
        </w:tc>
        <w:tc>
          <w:tcPr>
            <w:tcW w:type="dxa" w:w="1077"/>
            <w:shd w:val="clear" w:color="auto" w:fill="F4F7F6"/>
          </w:tcPr>
          <w:p>
            <w:pPr>
              <w:spacing w:after="20" w:before="20"/>
              <w:jc w:val="center"/>
            </w:pPr>
            <w:r/>
            <w:r>
              <w:rPr>
                <w:b w:val="0"/>
                <w:color w:val="222A33"/>
                <w:sz w:val="18"/>
              </w:rPr>
              <w:t>$5,999</w:t>
            </w:r>
          </w:p>
        </w:tc>
        <w:tc>
          <w:tcPr>
            <w:tcW w:type="dxa" w:w="1134"/>
            <w:shd w:val="clear" w:color="auto" w:fill="F4F7F6"/>
          </w:tcPr>
          <w:p>
            <w:pPr>
              <w:spacing w:after="20" w:before="20"/>
              <w:jc w:val="center"/>
            </w:pPr>
            <w:r/>
            <w:r>
              <w:rPr>
                <w:b w:val="0"/>
                <w:color w:val="222A33"/>
                <w:sz w:val="18"/>
              </w:rPr>
              <w:t>$64,789</w:t>
            </w:r>
          </w:p>
        </w:tc>
        <w:tc>
          <w:tcPr>
            <w:tcW w:type="dxa" w:w="2608"/>
            <w:shd w:val="clear" w:color="auto" w:fill="F4F7F6"/>
          </w:tcPr>
          <w:p>
            <w:pPr>
              <w:spacing w:after="20" w:before="20"/>
            </w:pPr>
            <w:r/>
            <w:r>
              <w:rPr>
                <w:b w:val="0"/>
                <w:color w:val="222A33"/>
                <w:sz w:val="18"/>
              </w:rPr>
              <w:t>Large charities ($3M+) / groups</w:t>
            </w:r>
          </w:p>
        </w:tc>
        <w:tc>
          <w:tcPr>
            <w:tcW w:type="dxa" w:w="1077"/>
            <w:shd w:val="clear" w:color="auto" w:fill="F4F7F6"/>
          </w:tcPr>
          <w:p>
            <w:pPr>
              <w:spacing w:after="20" w:before="20"/>
              <w:jc w:val="center"/>
            </w:pPr>
            <w:r/>
            <w:r>
              <w:rPr>
                <w:b w:val="0"/>
                <w:color w:val="222A33"/>
                <w:sz w:val="18"/>
              </w:rPr>
              <w:t>Unlimited</w:t>
            </w:r>
          </w:p>
        </w:tc>
        <w:tc>
          <w:tcPr>
            <w:tcW w:type="dxa" w:w="1134"/>
            <w:shd w:val="clear" w:color="auto" w:fill="F4F7F6"/>
          </w:tcPr>
          <w:p>
            <w:pPr>
              <w:spacing w:after="20" w:before="20"/>
              <w:jc w:val="center"/>
            </w:pPr>
            <w:r/>
            <w:r>
              <w:rPr>
                <w:b w:val="0"/>
                <w:color w:val="222A33"/>
                <w:sz w:val="18"/>
              </w:rPr>
              <w:t>1,500</w:t>
            </w:r>
          </w:p>
        </w:tc>
        <w:tc>
          <w:tcPr>
            <w:tcW w:type="dxa" w:w="1077"/>
            <w:shd w:val="clear" w:color="auto" w:fill="F4F7F6"/>
          </w:tcPr>
          <w:p>
            <w:pPr>
              <w:spacing w:after="20" w:before="20"/>
              <w:jc w:val="center"/>
            </w:pPr>
            <w:r/>
            <w:r>
              <w:rPr>
                <w:b w:val="0"/>
                <w:color w:val="222A33"/>
                <w:sz w:val="18"/>
              </w:rPr>
              <w:t>Unlimited</w:t>
            </w:r>
          </w:p>
        </w:tc>
      </w:tr>
      <w:tr>
        <w:tc>
          <w:tcPr>
            <w:tcW w:type="dxa" w:w="1531"/>
          </w:tcPr>
          <w:p>
            <w:pPr>
              <w:spacing w:after="20" w:before="20"/>
            </w:pPr>
            <w:r/>
            <w:r>
              <w:rPr>
                <w:b/>
                <w:color w:val="222A33"/>
                <w:sz w:val="18"/>
              </w:rPr>
              <w:t>Bespoke</w:t>
            </w:r>
          </w:p>
        </w:tc>
        <w:tc>
          <w:tcPr>
            <w:tcW w:type="dxa" w:w="1077"/>
          </w:tcPr>
          <w:p>
            <w:pPr>
              <w:spacing w:after="20" w:before="20"/>
              <w:jc w:val="center"/>
            </w:pPr>
            <w:r/>
            <w:r>
              <w:rPr>
                <w:b w:val="0"/>
                <w:color w:val="222A33"/>
                <w:sz w:val="18"/>
              </w:rPr>
              <w:t>Contact us</w:t>
            </w:r>
          </w:p>
        </w:tc>
        <w:tc>
          <w:tcPr>
            <w:tcW w:type="dxa" w:w="1134"/>
          </w:tcPr>
          <w:p>
            <w:pPr>
              <w:spacing w:after="20" w:before="20"/>
              <w:jc w:val="center"/>
            </w:pPr>
            <w:r/>
            <w:r>
              <w:rPr>
                <w:b w:val="0"/>
                <w:color w:val="222A33"/>
                <w:sz w:val="18"/>
              </w:rPr>
              <w:t>Contact us</w:t>
            </w:r>
          </w:p>
        </w:tc>
        <w:tc>
          <w:tcPr>
            <w:tcW w:type="dxa" w:w="2608"/>
          </w:tcPr>
          <w:p>
            <w:pPr>
              <w:spacing w:after="20" w:before="20"/>
            </w:pPr>
            <w:r/>
            <w:r>
              <w:rPr>
                <w:b w:val="0"/>
                <w:color w:val="222A33"/>
                <w:sz w:val="18"/>
              </w:rPr>
              <w:t>Federations, peak bodies, groups</w:t>
            </w:r>
          </w:p>
        </w:tc>
        <w:tc>
          <w:tcPr>
            <w:tcW w:type="dxa" w:w="1077"/>
          </w:tcPr>
          <w:p>
            <w:pPr>
              <w:spacing w:after="20" w:before="20"/>
              <w:jc w:val="center"/>
            </w:pPr>
            <w:r/>
            <w:r>
              <w:rPr>
                <w:b w:val="0"/>
                <w:color w:val="222A33"/>
                <w:sz w:val="18"/>
              </w:rPr>
              <w:t>Unlimited</w:t>
            </w:r>
          </w:p>
        </w:tc>
        <w:tc>
          <w:tcPr>
            <w:tcW w:type="dxa" w:w="1134"/>
          </w:tcPr>
          <w:p>
            <w:pPr>
              <w:spacing w:after="20" w:before="20"/>
              <w:jc w:val="center"/>
            </w:pPr>
            <w:r/>
            <w:r>
              <w:rPr>
                <w:b w:val="0"/>
                <w:color w:val="222A33"/>
                <w:sz w:val="18"/>
              </w:rPr>
              <w:t>Unlimited</w:t>
            </w:r>
          </w:p>
        </w:tc>
        <w:tc>
          <w:tcPr>
            <w:tcW w:type="dxa" w:w="1077"/>
          </w:tcPr>
          <w:p>
            <w:pPr>
              <w:spacing w:after="20" w:before="20"/>
              <w:jc w:val="center"/>
            </w:pPr>
            <w:r/>
            <w:r>
              <w:rPr>
                <w:b w:val="0"/>
                <w:color w:val="222A33"/>
                <w:sz w:val="18"/>
              </w:rPr>
              <w:t>Unlimited</w:t>
            </w:r>
          </w:p>
        </w:tc>
      </w:tr>
    </w:tbl>
    <w:p>
      <w:pPr>
        <w:spacing w:after="40"/>
      </w:pPr>
      <w:r>
        <w:rPr>
          <w:b w:val="0"/>
          <w:i/>
          <w:color w:val="5A6675"/>
          <w:sz w:val="19"/>
        </w:rPr>
        <w:t>“Approvals / month” is the included allowance of completed approval workflows; additional approvals beyond the allowance are available where applicable. Board / committee seats are included on every plan (9 on Foundation; 15 on Growth; unlimited from Professional upward). Annual plans waive the one-off setup fee.</w:t>
      </w:r>
    </w:p>
    <w:p>
      <w:pPr>
        <w:spacing w:before="240" w:after="80"/>
        <w:pBdr>
          <w:bottom w:val="single" w:sz="12" w:space="3" w:color="1F8A7E"/>
        </w:pBdr>
      </w:pPr>
      <w:r>
        <w:rPr>
          <w:b/>
          <w:color w:val="0B2545"/>
          <w:sz w:val="27"/>
        </w:rPr>
        <w:t>3.  New capabilities on the platform</w:t>
      </w:r>
    </w:p>
    <w:p>
      <w:pPr>
        <w:spacing w:after="80"/>
      </w:pPr>
      <w:r>
        <w:rPr>
          <w:b w:val="0"/>
          <w:i w:val="0"/>
          <w:color w:val="222A33"/>
          <w:sz w:val="21"/>
        </w:rPr>
        <w:t>The following capabilities have been added since the original plans and are reflected in the comparison in section 5.</w:t>
      </w:r>
    </w:p>
    <w:p>
      <w:pPr>
        <w:spacing w:before="160" w:after="40"/>
      </w:pPr>
      <w:r>
        <w:rPr>
          <w:b/>
          <w:color w:val="1F8A7E"/>
          <w:sz w:val="22"/>
        </w:rPr>
        <w:t>Fundraising &amp; engagement</w:t>
      </w:r>
    </w:p>
    <w:p>
      <w:pPr>
        <w:pStyle w:val="ListBullet"/>
        <w:spacing w:after="40" w:line="264" w:lineRule="auto"/>
      </w:pPr>
      <w:r>
        <w:rPr>
          <w:b/>
        </w:rPr>
        <w:t xml:space="preserve">Fundraising &amp; Donor Management —  </w:t>
      </w:r>
      <w:r>
        <w:rPr>
          <w:sz w:val="21"/>
        </w:rPr>
        <w:t>manage donors and donations, donation milestones, donation boxes, and refunds in one place.</w:t>
      </w:r>
    </w:p>
    <w:p>
      <w:pPr>
        <w:pStyle w:val="ListBullet"/>
        <w:spacing w:after="40" w:line="264" w:lineRule="auto"/>
      </w:pPr>
      <w:r>
        <w:rPr>
          <w:b/>
        </w:rPr>
        <w:t xml:space="preserve">Project &amp; Grant Delivery —  </w:t>
      </w:r>
      <w:r>
        <w:rPr>
          <w:sz w:val="21"/>
        </w:rPr>
        <w:t>register funded projects, track delivery against funding agreements, and manage over-budget change requests with partners.</w:t>
      </w:r>
    </w:p>
    <w:p>
      <w:pPr>
        <w:pStyle w:val="ListBullet"/>
        <w:spacing w:after="40" w:line="264" w:lineRule="auto"/>
      </w:pPr>
      <w:r>
        <w:rPr>
          <w:b/>
        </w:rPr>
        <w:t xml:space="preserve">Marketing &amp; Social Campaigns —  </w:t>
      </w:r>
      <w:r>
        <w:rPr>
          <w:sz w:val="21"/>
        </w:rPr>
        <w:t>plan campaigns and route marketing spend through approval before it goes out.</w:t>
      </w:r>
    </w:p>
    <w:p>
      <w:pPr>
        <w:pStyle w:val="ListBullet"/>
        <w:spacing w:after="40" w:line="264" w:lineRule="auto"/>
      </w:pPr>
      <w:r>
        <w:rPr>
          <w:b/>
        </w:rPr>
        <w:t xml:space="preserve">Volunteer Management —  </w:t>
      </w:r>
      <w:r>
        <w:rPr>
          <w:sz w:val="21"/>
        </w:rPr>
        <w:t>recruit, induct and manage volunteers alongside your people records.</w:t>
      </w:r>
    </w:p>
    <w:p>
      <w:pPr>
        <w:spacing w:before="160" w:after="40"/>
      </w:pPr>
      <w:r>
        <w:rPr>
          <w:b/>
          <w:color w:val="1F8A7E"/>
          <w:sz w:val="22"/>
        </w:rPr>
        <w:t>Access anywhere &amp; collaboration</w:t>
      </w:r>
    </w:p>
    <w:p>
      <w:pPr>
        <w:pStyle w:val="ListBullet"/>
        <w:spacing w:after="40" w:line="264" w:lineRule="auto"/>
      </w:pPr>
      <w:r>
        <w:rPr>
          <w:b/>
        </w:rPr>
        <w:t xml:space="preserve">Mobile App —  </w:t>
      </w:r>
      <w:r>
        <w:rPr>
          <w:sz w:val="21"/>
        </w:rPr>
        <w:t>a companion iOS &amp; Android app for approvals, registers, meetings, training and expenses on the go, with push notifications.</w:t>
      </w:r>
    </w:p>
    <w:p>
      <w:pPr>
        <w:pStyle w:val="ListBullet"/>
        <w:spacing w:after="40" w:line="264" w:lineRule="auto"/>
      </w:pPr>
      <w:r>
        <w:rPr>
          <w:b/>
        </w:rPr>
        <w:t xml:space="preserve">Team Chat —  </w:t>
      </w:r>
      <w:r>
        <w:rPr>
          <w:sz w:val="21"/>
        </w:rPr>
        <w:t>secure in-app messaging across channels, with mentions and threads, so conversations stay next to the work.</w:t>
      </w:r>
    </w:p>
    <w:p>
      <w:pPr>
        <w:spacing w:before="160" w:after="40"/>
      </w:pPr>
      <w:r>
        <w:rPr>
          <w:b/>
          <w:color w:val="1F8A7E"/>
          <w:sz w:val="22"/>
        </w:rPr>
        <w:t>Everyday tools (included on every plan)</w:t>
      </w:r>
    </w:p>
    <w:p>
      <w:pPr>
        <w:pStyle w:val="ListBullet"/>
        <w:spacing w:after="40" w:line="264" w:lineRule="auto"/>
      </w:pPr>
      <w:r>
        <w:rPr>
          <w:b/>
        </w:rPr>
        <w:t xml:space="preserve">Calendar &amp; Reminders —  </w:t>
      </w:r>
      <w:r>
        <w:rPr>
          <w:sz w:val="21"/>
        </w:rPr>
        <w:t>a shared organisation calendar with reminders for due and expiring items.</w:t>
      </w:r>
    </w:p>
    <w:p>
      <w:pPr>
        <w:pStyle w:val="ListBullet"/>
        <w:spacing w:after="40" w:line="264" w:lineRule="auto"/>
      </w:pPr>
      <w:r>
        <w:rPr>
          <w:b/>
        </w:rPr>
        <w:t xml:space="preserve">Inquiry Register —  </w:t>
      </w:r>
      <w:r>
        <w:rPr>
          <w:sz w:val="21"/>
        </w:rPr>
        <w:t>configurable inquiry records that move through their own approval workflow.</w:t>
      </w:r>
    </w:p>
    <w:p>
      <w:pPr>
        <w:pStyle w:val="ListBullet"/>
        <w:spacing w:after="40" w:line="264" w:lineRule="auto"/>
      </w:pPr>
      <w:r>
        <w:rPr>
          <w:b/>
        </w:rPr>
        <w:t xml:space="preserve">In-app Support —  </w:t>
      </w:r>
      <w:r>
        <w:rPr>
          <w:sz w:val="21"/>
        </w:rPr>
        <w:t>raise and track support requests with our team from inside the platform.</w:t>
      </w:r>
    </w:p>
    <w:p>
      <w:pPr>
        <w:spacing w:before="240" w:after="80"/>
        <w:pBdr>
          <w:bottom w:val="single" w:sz="12" w:space="3" w:color="1F8A7E"/>
        </w:pBdr>
      </w:pPr>
      <w:r>
        <w:rPr>
          <w:b/>
          <w:color w:val="0B2545"/>
          <w:sz w:val="27"/>
        </w:rPr>
        <w:t>4.  Introducing the Growth plan</w:t>
      </w:r>
    </w:p>
    <w:p>
      <w:pPr>
        <w:spacing w:after="80"/>
      </w:pPr>
      <w:r>
        <w:rPr>
          <w:b w:val="0"/>
          <w:i w:val="0"/>
          <w:color w:val="222A33"/>
          <w:sz w:val="21"/>
        </w:rPr>
        <w:t>Growth is a new plan that sits between Foundation and Professional. It is built for charities that have grown beyond core governance and now run active fundraising, deliver funded projects, manage volunteers, and want their team on mobile — but do not yet need the full finance and accounting suite. It closes the gap between the $299 Foundation plan and the $1,499 Professional plan.</w:t>
      </w:r>
    </w:p>
    <w:tbl>
      <w:tblPr>
        <w:tblStyle w:val="TableGrid"/>
        <w:tblW w:type="auto" w:w="0"/>
        <w:jc w:val="center"/>
        <w:tblLook w:firstColumn="1" w:firstRow="1" w:lastColumn="0" w:lastRow="0" w:noHBand="0" w:noVBand="1" w:val="04A0"/>
      </w:tblPr>
      <w:tblGrid>
        <w:gridCol w:w="5100"/>
        <w:gridCol w:w="5100"/>
      </w:tblGrid>
      <w:tr>
        <w:tc>
          <w:tcPr>
            <w:tcW w:type="dxa" w:w="3742"/>
            <w:shd w:val="clear" w:color="auto" w:fill="1F8A7E"/>
          </w:tcPr>
          <w:p>
            <w:pPr>
              <w:spacing w:after="20" w:before="20"/>
            </w:pPr>
            <w:r/>
            <w:r>
              <w:rPr>
                <w:b/>
                <w:color w:val="FFFFFF"/>
                <w:sz w:val="19"/>
              </w:rPr>
              <w:t>What you get with Growth</w:t>
            </w:r>
          </w:p>
        </w:tc>
        <w:tc>
          <w:tcPr>
            <w:tcW w:type="dxa" w:w="5896"/>
            <w:shd w:val="clear" w:color="auto" w:fill="1F8A7E"/>
          </w:tcPr>
          <w:p>
            <w:pPr>
              <w:spacing w:after="20" w:before="20"/>
            </w:pPr>
            <w:r/>
            <w:r>
              <w:rPr>
                <w:b/>
                <w:color w:val="FFFFFF"/>
                <w:sz w:val="19"/>
              </w:rPr>
              <w:t>Detail</w:t>
            </w:r>
          </w:p>
        </w:tc>
      </w:tr>
      <w:tr>
        <w:tc>
          <w:tcPr>
            <w:tcW w:type="dxa" w:w="3742"/>
            <w:shd w:val="clear" w:color="auto" w:fill="FBF3E6"/>
          </w:tcPr>
          <w:p>
            <w:pPr>
              <w:spacing w:after="20" w:before="20"/>
            </w:pPr>
            <w:r/>
            <w:r>
              <w:rPr>
                <w:b/>
                <w:color w:val="222A33"/>
                <w:sz w:val="19"/>
              </w:rPr>
              <w:t>Price</w:t>
            </w:r>
          </w:p>
        </w:tc>
        <w:tc>
          <w:tcPr>
            <w:tcW w:type="dxa" w:w="5896"/>
            <w:shd w:val="clear" w:color="auto" w:fill="FBF3E6"/>
          </w:tcPr>
          <w:p>
            <w:pPr>
              <w:spacing w:after="20" w:before="20"/>
            </w:pPr>
            <w:r/>
            <w:r>
              <w:rPr>
                <w:b w:val="0"/>
                <w:color w:val="222A33"/>
                <w:sz w:val="19"/>
              </w:rPr>
              <w:t>$699 / month  ·  $7,549 / year (save 10%)</w:t>
            </w:r>
          </w:p>
        </w:tc>
      </w:tr>
      <w:tr>
        <w:tc>
          <w:tcPr>
            <w:tcW w:type="dxa" w:w="3742"/>
            <w:shd w:val="clear" w:color="auto" w:fill="FBF3E6"/>
          </w:tcPr>
          <w:p>
            <w:pPr>
              <w:spacing w:after="20" w:before="20"/>
            </w:pPr>
            <w:r/>
            <w:r>
              <w:rPr>
                <w:b/>
                <w:color w:val="222A33"/>
                <w:sz w:val="19"/>
              </w:rPr>
              <w:t>Best for</w:t>
            </w:r>
          </w:p>
        </w:tc>
        <w:tc>
          <w:tcPr>
            <w:tcW w:type="dxa" w:w="5896"/>
            <w:shd w:val="clear" w:color="auto" w:fill="FBF3E6"/>
          </w:tcPr>
          <w:p>
            <w:pPr>
              <w:spacing w:after="20" w:before="20"/>
            </w:pPr>
            <w:r/>
            <w:r>
              <w:rPr>
                <w:b w:val="0"/>
                <w:color w:val="222A33"/>
                <w:sz w:val="19"/>
              </w:rPr>
              <w:t>Growing charities ($500K–$1.5M)</w:t>
            </w:r>
          </w:p>
        </w:tc>
      </w:tr>
      <w:tr>
        <w:tc>
          <w:tcPr>
            <w:tcW w:type="dxa" w:w="3742"/>
            <w:shd w:val="clear" w:color="auto" w:fill="FBF3E6"/>
          </w:tcPr>
          <w:p>
            <w:pPr>
              <w:spacing w:after="20" w:before="20"/>
            </w:pPr>
            <w:r/>
            <w:r>
              <w:rPr>
                <w:b/>
                <w:color w:val="222A33"/>
                <w:sz w:val="19"/>
              </w:rPr>
              <w:t>Everything in Foundation</w:t>
            </w:r>
          </w:p>
        </w:tc>
        <w:tc>
          <w:tcPr>
            <w:tcW w:type="dxa" w:w="5896"/>
            <w:shd w:val="clear" w:color="auto" w:fill="FBF3E6"/>
          </w:tcPr>
          <w:p>
            <w:pPr>
              <w:spacing w:after="20" w:before="20"/>
            </w:pPr>
            <w:r/>
            <w:r>
              <w:rPr>
                <w:b w:val="0"/>
                <w:color w:val="222A33"/>
                <w:sz w:val="19"/>
              </w:rPr>
              <w:t>All governance, compliance and security tools</w:t>
            </w:r>
          </w:p>
        </w:tc>
      </w:tr>
      <w:tr>
        <w:tc>
          <w:tcPr>
            <w:tcW w:type="dxa" w:w="3742"/>
            <w:shd w:val="clear" w:color="auto" w:fill="FBF3E6"/>
          </w:tcPr>
          <w:p>
            <w:pPr>
              <w:spacing w:after="20" w:before="20"/>
            </w:pPr>
            <w:r/>
            <w:r>
              <w:rPr>
                <w:b/>
                <w:color w:val="222A33"/>
                <w:sz w:val="19"/>
              </w:rPr>
              <w:t>Plus — Fundraising &amp; Donor Management</w:t>
            </w:r>
          </w:p>
        </w:tc>
        <w:tc>
          <w:tcPr>
            <w:tcW w:type="dxa" w:w="5896"/>
            <w:shd w:val="clear" w:color="auto" w:fill="FBF3E6"/>
          </w:tcPr>
          <w:p>
            <w:pPr>
              <w:spacing w:after="20" w:before="20"/>
            </w:pPr>
            <w:r/>
            <w:r>
              <w:rPr>
                <w:b w:val="0"/>
                <w:color w:val="222A33"/>
                <w:sz w:val="19"/>
              </w:rPr>
              <w:t>Donors, donations, milestones, donation boxes</w:t>
            </w:r>
          </w:p>
        </w:tc>
      </w:tr>
      <w:tr>
        <w:tc>
          <w:tcPr>
            <w:tcW w:type="dxa" w:w="3742"/>
            <w:shd w:val="clear" w:color="auto" w:fill="FBF3E6"/>
          </w:tcPr>
          <w:p>
            <w:pPr>
              <w:spacing w:after="20" w:before="20"/>
            </w:pPr>
            <w:r/>
            <w:r>
              <w:rPr>
                <w:b/>
                <w:color w:val="222A33"/>
                <w:sz w:val="19"/>
              </w:rPr>
              <w:t>Plus — Project &amp; Grant Delivery</w:t>
            </w:r>
          </w:p>
        </w:tc>
        <w:tc>
          <w:tcPr>
            <w:tcW w:type="dxa" w:w="5896"/>
            <w:shd w:val="clear" w:color="auto" w:fill="FBF3E6"/>
          </w:tcPr>
          <w:p>
            <w:pPr>
              <w:spacing w:after="20" w:before="20"/>
            </w:pPr>
            <w:r/>
            <w:r>
              <w:rPr>
                <w:b w:val="0"/>
                <w:color w:val="222A33"/>
                <w:sz w:val="19"/>
              </w:rPr>
              <w:t>Funded-project register and delivery tracking</w:t>
            </w:r>
          </w:p>
        </w:tc>
      </w:tr>
      <w:tr>
        <w:tc>
          <w:tcPr>
            <w:tcW w:type="dxa" w:w="3742"/>
            <w:shd w:val="clear" w:color="auto" w:fill="FBF3E6"/>
          </w:tcPr>
          <w:p>
            <w:pPr>
              <w:spacing w:after="20" w:before="20"/>
            </w:pPr>
            <w:r/>
            <w:r>
              <w:rPr>
                <w:b/>
                <w:color w:val="222A33"/>
                <w:sz w:val="19"/>
              </w:rPr>
              <w:t>Plus — Marketing &amp; Social Campaigns</w:t>
            </w:r>
          </w:p>
        </w:tc>
        <w:tc>
          <w:tcPr>
            <w:tcW w:type="dxa" w:w="5896"/>
            <w:shd w:val="clear" w:color="auto" w:fill="FBF3E6"/>
          </w:tcPr>
          <w:p>
            <w:pPr>
              <w:spacing w:after="20" w:before="20"/>
            </w:pPr>
            <w:r/>
            <w:r>
              <w:rPr>
                <w:b w:val="0"/>
                <w:color w:val="222A33"/>
                <w:sz w:val="19"/>
              </w:rPr>
              <w:t>Plan and approve campaigns and marketing spend</w:t>
            </w:r>
          </w:p>
        </w:tc>
      </w:tr>
      <w:tr>
        <w:tc>
          <w:tcPr>
            <w:tcW w:type="dxa" w:w="3742"/>
            <w:shd w:val="clear" w:color="auto" w:fill="FBF3E6"/>
          </w:tcPr>
          <w:p>
            <w:pPr>
              <w:spacing w:after="20" w:before="20"/>
            </w:pPr>
            <w:r/>
            <w:r>
              <w:rPr>
                <w:b/>
                <w:color w:val="222A33"/>
                <w:sz w:val="19"/>
              </w:rPr>
              <w:t>Plus — Volunteer Management</w:t>
            </w:r>
          </w:p>
        </w:tc>
        <w:tc>
          <w:tcPr>
            <w:tcW w:type="dxa" w:w="5896"/>
            <w:shd w:val="clear" w:color="auto" w:fill="FBF3E6"/>
          </w:tcPr>
          <w:p>
            <w:pPr>
              <w:spacing w:after="20" w:before="20"/>
            </w:pPr>
            <w:r/>
            <w:r>
              <w:rPr>
                <w:b w:val="0"/>
                <w:color w:val="222A33"/>
                <w:sz w:val="19"/>
              </w:rPr>
              <w:t>Recruit, induct and manage volunteers</w:t>
            </w:r>
          </w:p>
        </w:tc>
      </w:tr>
      <w:tr>
        <w:tc>
          <w:tcPr>
            <w:tcW w:type="dxa" w:w="3742"/>
            <w:shd w:val="clear" w:color="auto" w:fill="FBF3E6"/>
          </w:tcPr>
          <w:p>
            <w:pPr>
              <w:spacing w:after="20" w:before="20"/>
            </w:pPr>
            <w:r/>
            <w:r>
              <w:rPr>
                <w:b/>
                <w:color w:val="222A33"/>
                <w:sz w:val="19"/>
              </w:rPr>
              <w:t>Plus — Mobile App &amp; Team Chat</w:t>
            </w:r>
          </w:p>
        </w:tc>
        <w:tc>
          <w:tcPr>
            <w:tcW w:type="dxa" w:w="5896"/>
            <w:shd w:val="clear" w:color="auto" w:fill="FBF3E6"/>
          </w:tcPr>
          <w:p>
            <w:pPr>
              <w:spacing w:after="20" w:before="20"/>
            </w:pPr>
            <w:r/>
            <w:r>
              <w:rPr>
                <w:b w:val="0"/>
                <w:color w:val="222A33"/>
                <w:sz w:val="19"/>
              </w:rPr>
              <w:t>Your team on iOS &amp; Android, with in-app chat</w:t>
            </w:r>
          </w:p>
        </w:tc>
      </w:tr>
      <w:tr>
        <w:tc>
          <w:tcPr>
            <w:tcW w:type="dxa" w:w="3742"/>
            <w:shd w:val="clear" w:color="auto" w:fill="FBF3E6"/>
          </w:tcPr>
          <w:p>
            <w:pPr>
              <w:spacing w:after="20" w:before="20"/>
            </w:pPr>
            <w:r/>
            <w:r>
              <w:rPr>
                <w:b/>
                <w:color w:val="222A33"/>
                <w:sz w:val="19"/>
              </w:rPr>
              <w:t>Team size</w:t>
            </w:r>
          </w:p>
        </w:tc>
        <w:tc>
          <w:tcPr>
            <w:tcW w:type="dxa" w:w="5896"/>
            <w:shd w:val="clear" w:color="auto" w:fill="FBF3E6"/>
          </w:tcPr>
          <w:p>
            <w:pPr>
              <w:spacing w:after="20" w:before="20"/>
            </w:pPr>
            <w:r/>
            <w:r>
              <w:rPr>
                <w:b w:val="0"/>
                <w:color w:val="222A33"/>
                <w:sz w:val="19"/>
              </w:rPr>
              <w:t>12 staff seats · 15 board / committee seats</w:t>
            </w:r>
          </w:p>
        </w:tc>
      </w:tr>
      <w:tr>
        <w:tc>
          <w:tcPr>
            <w:tcW w:type="dxa" w:w="3742"/>
            <w:shd w:val="clear" w:color="auto" w:fill="FBF3E6"/>
          </w:tcPr>
          <w:p>
            <w:pPr>
              <w:spacing w:after="20" w:before="20"/>
            </w:pPr>
            <w:r/>
            <w:r>
              <w:rPr>
                <w:b/>
                <w:color w:val="222A33"/>
                <w:sz w:val="19"/>
              </w:rPr>
              <w:t>Allowances</w:t>
            </w:r>
          </w:p>
        </w:tc>
        <w:tc>
          <w:tcPr>
            <w:tcW w:type="dxa" w:w="5896"/>
            <w:shd w:val="clear" w:color="auto" w:fill="FBF3E6"/>
          </w:tcPr>
          <w:p>
            <w:pPr>
              <w:spacing w:after="20" w:before="20"/>
            </w:pPr>
            <w:r/>
            <w:r>
              <w:rPr>
                <w:b w:val="0"/>
                <w:color w:val="222A33"/>
                <w:sz w:val="19"/>
              </w:rPr>
              <w:t>200 approvals / month · 40 GB document storage</w:t>
            </w:r>
          </w:p>
        </w:tc>
      </w:tr>
      <w:tr>
        <w:tc>
          <w:tcPr>
            <w:tcW w:type="dxa" w:w="3742"/>
            <w:shd w:val="clear" w:color="auto" w:fill="FBF3E6"/>
          </w:tcPr>
          <w:p>
            <w:pPr>
              <w:spacing w:after="20" w:before="20"/>
            </w:pPr>
            <w:r/>
            <w:r>
              <w:rPr>
                <w:b/>
                <w:color w:val="222A33"/>
                <w:sz w:val="19"/>
              </w:rPr>
              <w:t>Support</w:t>
            </w:r>
          </w:p>
        </w:tc>
        <w:tc>
          <w:tcPr>
            <w:tcW w:type="dxa" w:w="5896"/>
            <w:shd w:val="clear" w:color="auto" w:fill="FBF3E6"/>
          </w:tcPr>
          <w:p>
            <w:pPr>
              <w:spacing w:after="20" w:before="20"/>
            </w:pPr>
            <w:r/>
            <w:r>
              <w:rPr>
                <w:b w:val="0"/>
                <w:color w:val="222A33"/>
                <w:sz w:val="19"/>
              </w:rPr>
              <w:t>Priority support · 14-day free trial</w:t>
            </w:r>
          </w:p>
        </w:tc>
      </w:tr>
    </w:tbl>
    <w:p>
      <w:pPr>
        <w:spacing w:before="240" w:after="80"/>
        <w:pBdr>
          <w:bottom w:val="single" w:sz="12" w:space="3" w:color="1F8A7E"/>
        </w:pBdr>
      </w:pPr>
      <w:r>
        <w:rPr>
          <w:b/>
          <w:color w:val="0B2545"/>
          <w:sz w:val="27"/>
        </w:rPr>
        <w:t>5.  What each plan includes</w:t>
      </w:r>
    </w:p>
    <w:p>
      <w:pPr>
        <w:spacing w:after="80"/>
      </w:pPr>
      <w:r>
        <w:rPr>
          <w:b w:val="0"/>
          <w:i w:val="0"/>
          <w:color w:val="222A33"/>
          <w:sz w:val="21"/>
        </w:rPr>
        <w:t>A ✓ means the capability is included. “Add-on” means it can be added to that plan for an extra monthly fee. Bespoke includes everything in Enterprise, tailored to your structure.</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4535"/>
            <w:shd w:val="clear" w:color="auto" w:fill="1F8A7E"/>
          </w:tcPr>
          <w:p>
            <w:pPr>
              <w:spacing w:after="20" w:before="20"/>
            </w:pPr>
            <w:r/>
            <w:r>
              <w:rPr>
                <w:b/>
                <w:color w:val="FFFFFF"/>
                <w:sz w:val="17"/>
              </w:rPr>
              <w:t>Capability</w:t>
            </w:r>
          </w:p>
        </w:tc>
        <w:tc>
          <w:tcPr>
            <w:tcW w:type="dxa" w:w="1276"/>
            <w:shd w:val="clear" w:color="auto" w:fill="1F8A7E"/>
          </w:tcPr>
          <w:p>
            <w:pPr>
              <w:spacing w:after="20" w:before="20"/>
              <w:jc w:val="center"/>
            </w:pPr>
            <w:r/>
            <w:r>
              <w:rPr>
                <w:b/>
                <w:color w:val="FFFFFF"/>
                <w:sz w:val="17"/>
              </w:rPr>
              <w:t>Foundation</w:t>
            </w:r>
          </w:p>
        </w:tc>
        <w:tc>
          <w:tcPr>
            <w:tcW w:type="dxa" w:w="1276"/>
            <w:shd w:val="clear" w:color="auto" w:fill="1F8A7E"/>
          </w:tcPr>
          <w:p>
            <w:pPr>
              <w:spacing w:after="20" w:before="20"/>
              <w:jc w:val="center"/>
            </w:pPr>
            <w:r/>
            <w:r>
              <w:rPr>
                <w:b/>
                <w:color w:val="FFFFFF"/>
                <w:sz w:val="17"/>
              </w:rPr>
              <w:t>Growth</w:t>
            </w:r>
          </w:p>
        </w:tc>
        <w:tc>
          <w:tcPr>
            <w:tcW w:type="dxa" w:w="1276"/>
            <w:shd w:val="clear" w:color="auto" w:fill="1F8A7E"/>
          </w:tcPr>
          <w:p>
            <w:pPr>
              <w:spacing w:after="20" w:before="20"/>
              <w:jc w:val="center"/>
            </w:pPr>
            <w:r/>
            <w:r>
              <w:rPr>
                <w:b/>
                <w:color w:val="FFFFFF"/>
                <w:sz w:val="17"/>
              </w:rPr>
              <w:t>Professional</w:t>
            </w:r>
          </w:p>
        </w:tc>
        <w:tc>
          <w:tcPr>
            <w:tcW w:type="dxa" w:w="1276"/>
            <w:shd w:val="clear" w:color="auto" w:fill="1F8A7E"/>
          </w:tcPr>
          <w:p>
            <w:pPr>
              <w:spacing w:after="20" w:before="20"/>
              <w:jc w:val="center"/>
            </w:pPr>
            <w:r/>
            <w:r>
              <w:rPr>
                <w:b/>
                <w:color w:val="FFFFFF"/>
                <w:sz w:val="17"/>
              </w:rPr>
              <w:t>Enterprise</w:t>
            </w:r>
          </w:p>
        </w:tc>
      </w:tr>
      <w:tr>
        <w:tc>
          <w:tcPr>
            <w:tcW w:type="dxa" w:w="4535"/>
          </w:tcPr>
          <w:p>
            <w:pPr>
              <w:spacing w:after="20" w:before="20"/>
            </w:pPr>
            <w:r/>
            <w:r>
              <w:rPr>
                <w:b/>
                <w:color w:val="222A33"/>
                <w:sz w:val="17"/>
              </w:rPr>
              <w:t>Charity administration, board pack &amp; meetings</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r>
      <w:tr>
        <w:tc>
          <w:tcPr>
            <w:tcW w:type="dxa" w:w="4535"/>
            <w:shd w:val="clear" w:color="auto" w:fill="F4F7F6"/>
          </w:tcPr>
          <w:p>
            <w:pPr>
              <w:spacing w:after="20" w:before="20"/>
            </w:pPr>
            <w:r/>
            <w:r>
              <w:rPr>
                <w:b/>
                <w:color w:val="222A33"/>
                <w:sz w:val="17"/>
              </w:rPr>
              <w:t>Policies, risk, complaints &amp; incidents registers</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r>
      <w:tr>
        <w:tc>
          <w:tcPr>
            <w:tcW w:type="dxa" w:w="4535"/>
          </w:tcPr>
          <w:p>
            <w:pPr>
              <w:spacing w:after="20" w:before="20"/>
            </w:pPr>
            <w:r/>
            <w:r>
              <w:rPr>
                <w:b/>
                <w:color w:val="222A33"/>
                <w:sz w:val="17"/>
              </w:rPr>
              <w:t>Compliance checklists &amp; AIS lodgement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r>
      <w:tr>
        <w:tc>
          <w:tcPr>
            <w:tcW w:type="dxa" w:w="4535"/>
            <w:shd w:val="clear" w:color="auto" w:fill="F4F7F6"/>
          </w:tcPr>
          <w:p>
            <w:pPr>
              <w:spacing w:after="20" w:before="20"/>
            </w:pPr>
            <w:r/>
            <w:r>
              <w:rPr>
                <w:b/>
                <w:color w:val="222A33"/>
                <w:sz w:val="17"/>
              </w:rPr>
              <w:t>Audit trail, two-step login &amp; role permissions</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r>
      <w:tr>
        <w:tc>
          <w:tcPr>
            <w:tcW w:type="dxa" w:w="4535"/>
          </w:tcPr>
          <w:p>
            <w:pPr>
              <w:spacing w:after="20" w:before="20"/>
            </w:pPr>
            <w:r/>
            <w:r>
              <w:rPr>
                <w:b/>
                <w:color w:val="222A33"/>
                <w:sz w:val="17"/>
              </w:rPr>
              <w:t>External auditor access</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r>
      <w:tr>
        <w:tc>
          <w:tcPr>
            <w:tcW w:type="dxa" w:w="4535"/>
            <w:shd w:val="clear" w:color="auto" w:fill="F4F7F6"/>
          </w:tcPr>
          <w:p>
            <w:pPr>
              <w:spacing w:after="20" w:before="20"/>
            </w:pPr>
            <w:r/>
            <w:r>
              <w:rPr>
                <w:b/>
                <w:color w:val="222A33"/>
                <w:sz w:val="17"/>
              </w:rPr>
              <w:t>Inquiry register, calendar &amp; in-app support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r>
      <w:tr>
        <w:tc>
          <w:tcPr>
            <w:tcW w:type="dxa" w:w="4535"/>
            <w:shd w:val="clear" w:color="auto" w:fill="FBF3E6"/>
          </w:tcPr>
          <w:p>
            <w:pPr>
              <w:spacing w:after="20" w:before="20"/>
            </w:pPr>
            <w:r/>
            <w:r>
              <w:rPr>
                <w:b/>
                <w:color w:val="222A33"/>
                <w:sz w:val="17"/>
              </w:rPr>
              <w:t>Fundraising &amp; Donor Management</w:t>
            </w:r>
          </w:p>
        </w:tc>
        <w:tc>
          <w:tcPr>
            <w:tcW w:type="dxa" w:w="1276"/>
            <w:shd w:val="clear" w:color="auto" w:fill="FBF3E6"/>
          </w:tcPr>
          <w:p>
            <w:pPr>
              <w:spacing w:after="20" w:before="20"/>
              <w:jc w:val="center"/>
            </w:pPr>
            <w:r/>
            <w:r>
              <w:rPr>
                <w:b w:val="0"/>
                <w:color w:val="222A33"/>
                <w:sz w:val="17"/>
              </w:rPr>
              <w:t>—</w:t>
            </w:r>
          </w:p>
        </w:tc>
        <w:tc>
          <w:tcPr>
            <w:tcW w:type="dxa" w:w="1276"/>
            <w:shd w:val="clear" w:color="auto" w:fill="FBF3E6"/>
          </w:tcPr>
          <w:p>
            <w:pPr>
              <w:spacing w:after="20" w:before="20"/>
              <w:jc w:val="center"/>
            </w:pPr>
            <w:r/>
            <w:r>
              <w:rPr>
                <w:b w:val="0"/>
                <w:color w:val="222A33"/>
                <w:sz w:val="17"/>
              </w:rPr>
              <w:t>✓</w:t>
            </w:r>
          </w:p>
        </w:tc>
        <w:tc>
          <w:tcPr>
            <w:tcW w:type="dxa" w:w="1276"/>
            <w:shd w:val="clear" w:color="auto" w:fill="FBF3E6"/>
          </w:tcPr>
          <w:p>
            <w:pPr>
              <w:spacing w:after="20" w:before="20"/>
              <w:jc w:val="center"/>
            </w:pPr>
            <w:r/>
            <w:r>
              <w:rPr>
                <w:b w:val="0"/>
                <w:color w:val="222A33"/>
                <w:sz w:val="17"/>
              </w:rPr>
              <w:t>✓</w:t>
            </w:r>
          </w:p>
        </w:tc>
        <w:tc>
          <w:tcPr>
            <w:tcW w:type="dxa" w:w="1276"/>
            <w:shd w:val="clear" w:color="auto" w:fill="FBF3E6"/>
          </w:tcPr>
          <w:p>
            <w:pPr>
              <w:spacing w:after="20" w:before="20"/>
              <w:jc w:val="center"/>
            </w:pPr>
            <w:r/>
            <w:r>
              <w:rPr>
                <w:b w:val="0"/>
                <w:color w:val="222A33"/>
                <w:sz w:val="17"/>
              </w:rPr>
              <w:t>✓</w:t>
            </w:r>
          </w:p>
        </w:tc>
      </w:tr>
      <w:tr>
        <w:tc>
          <w:tcPr>
            <w:tcW w:type="dxa" w:w="4535"/>
            <w:shd w:val="clear" w:color="auto" w:fill="FBF3E6"/>
          </w:tcPr>
          <w:p>
            <w:pPr>
              <w:spacing w:after="20" w:before="20"/>
            </w:pPr>
            <w:r/>
            <w:r>
              <w:rPr>
                <w:b/>
                <w:color w:val="222A33"/>
                <w:sz w:val="17"/>
              </w:rPr>
              <w:t>Project &amp; Grant Delivery</w:t>
            </w:r>
          </w:p>
        </w:tc>
        <w:tc>
          <w:tcPr>
            <w:tcW w:type="dxa" w:w="1276"/>
            <w:shd w:val="clear" w:color="auto" w:fill="FBF3E6"/>
          </w:tcPr>
          <w:p>
            <w:pPr>
              <w:spacing w:after="20" w:before="20"/>
              <w:jc w:val="center"/>
            </w:pPr>
            <w:r/>
            <w:r>
              <w:rPr>
                <w:b w:val="0"/>
                <w:color w:val="222A33"/>
                <w:sz w:val="17"/>
              </w:rPr>
              <w:t>—</w:t>
            </w:r>
          </w:p>
        </w:tc>
        <w:tc>
          <w:tcPr>
            <w:tcW w:type="dxa" w:w="1276"/>
            <w:shd w:val="clear" w:color="auto" w:fill="FBF3E6"/>
          </w:tcPr>
          <w:p>
            <w:pPr>
              <w:spacing w:after="20" w:before="20"/>
              <w:jc w:val="center"/>
            </w:pPr>
            <w:r/>
            <w:r>
              <w:rPr>
                <w:b w:val="0"/>
                <w:color w:val="222A33"/>
                <w:sz w:val="17"/>
              </w:rPr>
              <w:t>✓</w:t>
            </w:r>
          </w:p>
        </w:tc>
        <w:tc>
          <w:tcPr>
            <w:tcW w:type="dxa" w:w="1276"/>
            <w:shd w:val="clear" w:color="auto" w:fill="FBF3E6"/>
          </w:tcPr>
          <w:p>
            <w:pPr>
              <w:spacing w:after="20" w:before="20"/>
              <w:jc w:val="center"/>
            </w:pPr>
            <w:r/>
            <w:r>
              <w:rPr>
                <w:b w:val="0"/>
                <w:color w:val="222A33"/>
                <w:sz w:val="17"/>
              </w:rPr>
              <w:t>✓</w:t>
            </w:r>
          </w:p>
        </w:tc>
        <w:tc>
          <w:tcPr>
            <w:tcW w:type="dxa" w:w="1276"/>
            <w:shd w:val="clear" w:color="auto" w:fill="FBF3E6"/>
          </w:tcPr>
          <w:p>
            <w:pPr>
              <w:spacing w:after="20" w:before="20"/>
              <w:jc w:val="center"/>
            </w:pPr>
            <w:r/>
            <w:r>
              <w:rPr>
                <w:b w:val="0"/>
                <w:color w:val="222A33"/>
                <w:sz w:val="17"/>
              </w:rPr>
              <w:t>✓</w:t>
            </w:r>
          </w:p>
        </w:tc>
      </w:tr>
      <w:tr>
        <w:tc>
          <w:tcPr>
            <w:tcW w:type="dxa" w:w="4535"/>
            <w:shd w:val="clear" w:color="auto" w:fill="FBF3E6"/>
          </w:tcPr>
          <w:p>
            <w:pPr>
              <w:spacing w:after="20" w:before="20"/>
            </w:pPr>
            <w:r/>
            <w:r>
              <w:rPr>
                <w:b/>
                <w:color w:val="222A33"/>
                <w:sz w:val="17"/>
              </w:rPr>
              <w:t>Marketing &amp; Social Campaigns</w:t>
            </w:r>
          </w:p>
        </w:tc>
        <w:tc>
          <w:tcPr>
            <w:tcW w:type="dxa" w:w="1276"/>
            <w:shd w:val="clear" w:color="auto" w:fill="FBF3E6"/>
          </w:tcPr>
          <w:p>
            <w:pPr>
              <w:spacing w:after="20" w:before="20"/>
              <w:jc w:val="center"/>
            </w:pPr>
            <w:r/>
            <w:r>
              <w:rPr>
                <w:b w:val="0"/>
                <w:color w:val="222A33"/>
                <w:sz w:val="17"/>
              </w:rPr>
              <w:t>—</w:t>
            </w:r>
          </w:p>
        </w:tc>
        <w:tc>
          <w:tcPr>
            <w:tcW w:type="dxa" w:w="1276"/>
            <w:shd w:val="clear" w:color="auto" w:fill="FBF3E6"/>
          </w:tcPr>
          <w:p>
            <w:pPr>
              <w:spacing w:after="20" w:before="20"/>
              <w:jc w:val="center"/>
            </w:pPr>
            <w:r/>
            <w:r>
              <w:rPr>
                <w:b w:val="0"/>
                <w:color w:val="222A33"/>
                <w:sz w:val="17"/>
              </w:rPr>
              <w:t>✓</w:t>
            </w:r>
          </w:p>
        </w:tc>
        <w:tc>
          <w:tcPr>
            <w:tcW w:type="dxa" w:w="1276"/>
            <w:shd w:val="clear" w:color="auto" w:fill="FBF3E6"/>
          </w:tcPr>
          <w:p>
            <w:pPr>
              <w:spacing w:after="20" w:before="20"/>
              <w:jc w:val="center"/>
            </w:pPr>
            <w:r/>
            <w:r>
              <w:rPr>
                <w:b w:val="0"/>
                <w:color w:val="222A33"/>
                <w:sz w:val="17"/>
              </w:rPr>
              <w:t>✓</w:t>
            </w:r>
          </w:p>
        </w:tc>
        <w:tc>
          <w:tcPr>
            <w:tcW w:type="dxa" w:w="1276"/>
            <w:shd w:val="clear" w:color="auto" w:fill="FBF3E6"/>
          </w:tcPr>
          <w:p>
            <w:pPr>
              <w:spacing w:after="20" w:before="20"/>
              <w:jc w:val="center"/>
            </w:pPr>
            <w:r/>
            <w:r>
              <w:rPr>
                <w:b w:val="0"/>
                <w:color w:val="222A33"/>
                <w:sz w:val="17"/>
              </w:rPr>
              <w:t>✓</w:t>
            </w:r>
          </w:p>
        </w:tc>
      </w:tr>
      <w:tr>
        <w:tc>
          <w:tcPr>
            <w:tcW w:type="dxa" w:w="4535"/>
            <w:shd w:val="clear" w:color="auto" w:fill="FBF3E6"/>
          </w:tcPr>
          <w:p>
            <w:pPr>
              <w:spacing w:after="20" w:before="20"/>
            </w:pPr>
            <w:r/>
            <w:r>
              <w:rPr>
                <w:b/>
                <w:color w:val="222A33"/>
                <w:sz w:val="17"/>
              </w:rPr>
              <w:t>Volunteer Management</w:t>
            </w:r>
          </w:p>
        </w:tc>
        <w:tc>
          <w:tcPr>
            <w:tcW w:type="dxa" w:w="1276"/>
            <w:shd w:val="clear" w:color="auto" w:fill="FBF3E6"/>
          </w:tcPr>
          <w:p>
            <w:pPr>
              <w:spacing w:after="20" w:before="20"/>
              <w:jc w:val="center"/>
            </w:pPr>
            <w:r/>
            <w:r>
              <w:rPr>
                <w:b w:val="0"/>
                <w:color w:val="222A33"/>
                <w:sz w:val="17"/>
              </w:rPr>
              <w:t>—</w:t>
            </w:r>
          </w:p>
        </w:tc>
        <w:tc>
          <w:tcPr>
            <w:tcW w:type="dxa" w:w="1276"/>
            <w:shd w:val="clear" w:color="auto" w:fill="FBF3E6"/>
          </w:tcPr>
          <w:p>
            <w:pPr>
              <w:spacing w:after="20" w:before="20"/>
              <w:jc w:val="center"/>
            </w:pPr>
            <w:r/>
            <w:r>
              <w:rPr>
                <w:b w:val="0"/>
                <w:color w:val="222A33"/>
                <w:sz w:val="17"/>
              </w:rPr>
              <w:t>✓</w:t>
            </w:r>
          </w:p>
        </w:tc>
        <w:tc>
          <w:tcPr>
            <w:tcW w:type="dxa" w:w="1276"/>
            <w:shd w:val="clear" w:color="auto" w:fill="FBF3E6"/>
          </w:tcPr>
          <w:p>
            <w:pPr>
              <w:spacing w:after="20" w:before="20"/>
              <w:jc w:val="center"/>
            </w:pPr>
            <w:r/>
            <w:r>
              <w:rPr>
                <w:b w:val="0"/>
                <w:color w:val="222A33"/>
                <w:sz w:val="17"/>
              </w:rPr>
              <w:t>✓</w:t>
            </w:r>
          </w:p>
        </w:tc>
        <w:tc>
          <w:tcPr>
            <w:tcW w:type="dxa" w:w="1276"/>
            <w:shd w:val="clear" w:color="auto" w:fill="FBF3E6"/>
          </w:tcPr>
          <w:p>
            <w:pPr>
              <w:spacing w:after="20" w:before="20"/>
              <w:jc w:val="center"/>
            </w:pPr>
            <w:r/>
            <w:r>
              <w:rPr>
                <w:b w:val="0"/>
                <w:color w:val="222A33"/>
                <w:sz w:val="17"/>
              </w:rPr>
              <w:t>✓</w:t>
            </w:r>
          </w:p>
        </w:tc>
      </w:tr>
      <w:tr>
        <w:tc>
          <w:tcPr>
            <w:tcW w:type="dxa" w:w="4535"/>
            <w:shd w:val="clear" w:color="auto" w:fill="FBF3E6"/>
          </w:tcPr>
          <w:p>
            <w:pPr>
              <w:spacing w:after="20" w:before="20"/>
            </w:pPr>
            <w:r/>
            <w:r>
              <w:rPr>
                <w:b/>
                <w:color w:val="222A33"/>
                <w:sz w:val="17"/>
              </w:rPr>
              <w:t>Mobile App (iOS &amp; Android)</w:t>
            </w:r>
          </w:p>
        </w:tc>
        <w:tc>
          <w:tcPr>
            <w:tcW w:type="dxa" w:w="1276"/>
            <w:shd w:val="clear" w:color="auto" w:fill="FBF3E6"/>
          </w:tcPr>
          <w:p>
            <w:pPr>
              <w:spacing w:after="20" w:before="20"/>
              <w:jc w:val="center"/>
            </w:pPr>
            <w:r/>
            <w:r>
              <w:rPr>
                <w:b w:val="0"/>
                <w:color w:val="222A33"/>
                <w:sz w:val="17"/>
              </w:rPr>
              <w:t>Add-on</w:t>
            </w:r>
          </w:p>
        </w:tc>
        <w:tc>
          <w:tcPr>
            <w:tcW w:type="dxa" w:w="1276"/>
            <w:shd w:val="clear" w:color="auto" w:fill="FBF3E6"/>
          </w:tcPr>
          <w:p>
            <w:pPr>
              <w:spacing w:after="20" w:before="20"/>
              <w:jc w:val="center"/>
            </w:pPr>
            <w:r/>
            <w:r>
              <w:rPr>
                <w:b w:val="0"/>
                <w:color w:val="222A33"/>
                <w:sz w:val="17"/>
              </w:rPr>
              <w:t>✓</w:t>
            </w:r>
          </w:p>
        </w:tc>
        <w:tc>
          <w:tcPr>
            <w:tcW w:type="dxa" w:w="1276"/>
            <w:shd w:val="clear" w:color="auto" w:fill="FBF3E6"/>
          </w:tcPr>
          <w:p>
            <w:pPr>
              <w:spacing w:after="20" w:before="20"/>
              <w:jc w:val="center"/>
            </w:pPr>
            <w:r/>
            <w:r>
              <w:rPr>
                <w:b w:val="0"/>
                <w:color w:val="222A33"/>
                <w:sz w:val="17"/>
              </w:rPr>
              <w:t>✓</w:t>
            </w:r>
          </w:p>
        </w:tc>
        <w:tc>
          <w:tcPr>
            <w:tcW w:type="dxa" w:w="1276"/>
            <w:shd w:val="clear" w:color="auto" w:fill="FBF3E6"/>
          </w:tcPr>
          <w:p>
            <w:pPr>
              <w:spacing w:after="20" w:before="20"/>
              <w:jc w:val="center"/>
            </w:pPr>
            <w:r/>
            <w:r>
              <w:rPr>
                <w:b w:val="0"/>
                <w:color w:val="222A33"/>
                <w:sz w:val="17"/>
              </w:rPr>
              <w:t>✓</w:t>
            </w:r>
          </w:p>
        </w:tc>
      </w:tr>
      <w:tr>
        <w:tc>
          <w:tcPr>
            <w:tcW w:type="dxa" w:w="4535"/>
            <w:shd w:val="clear" w:color="auto" w:fill="FBF3E6"/>
          </w:tcPr>
          <w:p>
            <w:pPr>
              <w:spacing w:after="20" w:before="20"/>
            </w:pPr>
            <w:r/>
            <w:r>
              <w:rPr>
                <w:b/>
                <w:color w:val="222A33"/>
                <w:sz w:val="17"/>
              </w:rPr>
              <w:t>Team Chat &amp; channels</w:t>
            </w:r>
          </w:p>
        </w:tc>
        <w:tc>
          <w:tcPr>
            <w:tcW w:type="dxa" w:w="1276"/>
            <w:shd w:val="clear" w:color="auto" w:fill="FBF3E6"/>
          </w:tcPr>
          <w:p>
            <w:pPr>
              <w:spacing w:after="20" w:before="20"/>
              <w:jc w:val="center"/>
            </w:pPr>
            <w:r/>
            <w:r>
              <w:rPr>
                <w:b w:val="0"/>
                <w:color w:val="222A33"/>
                <w:sz w:val="17"/>
              </w:rPr>
              <w:t>Add-on</w:t>
            </w:r>
          </w:p>
        </w:tc>
        <w:tc>
          <w:tcPr>
            <w:tcW w:type="dxa" w:w="1276"/>
            <w:shd w:val="clear" w:color="auto" w:fill="FBF3E6"/>
          </w:tcPr>
          <w:p>
            <w:pPr>
              <w:spacing w:after="20" w:before="20"/>
              <w:jc w:val="center"/>
            </w:pPr>
            <w:r/>
            <w:r>
              <w:rPr>
                <w:b w:val="0"/>
                <w:color w:val="222A33"/>
                <w:sz w:val="17"/>
              </w:rPr>
              <w:t>✓</w:t>
            </w:r>
          </w:p>
        </w:tc>
        <w:tc>
          <w:tcPr>
            <w:tcW w:type="dxa" w:w="1276"/>
            <w:shd w:val="clear" w:color="auto" w:fill="FBF3E6"/>
          </w:tcPr>
          <w:p>
            <w:pPr>
              <w:spacing w:after="20" w:before="20"/>
              <w:jc w:val="center"/>
            </w:pPr>
            <w:r/>
            <w:r>
              <w:rPr>
                <w:b w:val="0"/>
                <w:color w:val="222A33"/>
                <w:sz w:val="17"/>
              </w:rPr>
              <w:t>✓</w:t>
            </w:r>
          </w:p>
        </w:tc>
        <w:tc>
          <w:tcPr>
            <w:tcW w:type="dxa" w:w="1276"/>
            <w:shd w:val="clear" w:color="auto" w:fill="FBF3E6"/>
          </w:tcPr>
          <w:p>
            <w:pPr>
              <w:spacing w:after="20" w:before="20"/>
              <w:jc w:val="center"/>
            </w:pPr>
            <w:r/>
            <w:r>
              <w:rPr>
                <w:b w:val="0"/>
                <w:color w:val="222A33"/>
                <w:sz w:val="17"/>
              </w:rPr>
              <w:t>✓</w:t>
            </w:r>
          </w:p>
        </w:tc>
      </w:tr>
      <w:tr>
        <w:tc>
          <w:tcPr>
            <w:tcW w:type="dxa" w:w="4535"/>
          </w:tcPr>
          <w:p>
            <w:pPr>
              <w:spacing w:after="20" w:before="20"/>
            </w:pPr>
            <w:r/>
            <w:r>
              <w:rPr>
                <w:b/>
                <w:color w:val="222A33"/>
                <w:sz w:val="17"/>
              </w:rPr>
              <w:t>Finance suite — expenses, invoices, budgets, BAS, statements</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r>
      <w:tr>
        <w:tc>
          <w:tcPr>
            <w:tcW w:type="dxa" w:w="4535"/>
            <w:shd w:val="clear" w:color="auto" w:fill="F4F7F6"/>
          </w:tcPr>
          <w:p>
            <w:pPr>
              <w:spacing w:after="20" w:before="20"/>
            </w:pPr>
            <w:r/>
            <w:r>
              <w:rPr>
                <w:b/>
                <w:color w:val="222A33"/>
                <w:sz w:val="17"/>
              </w:rPr>
              <w:t>Cash handling &amp; sweep funds</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r>
      <w:tr>
        <w:tc>
          <w:tcPr>
            <w:tcW w:type="dxa" w:w="4535"/>
          </w:tcPr>
          <w:p>
            <w:pPr>
              <w:spacing w:after="20" w:before="20"/>
            </w:pPr>
            <w:r/>
            <w:r>
              <w:rPr>
                <w:b/>
                <w:color w:val="222A33"/>
                <w:sz w:val="17"/>
              </w:rPr>
              <w:t>Partner &amp; donor vetting</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r>
      <w:tr>
        <w:tc>
          <w:tcPr>
            <w:tcW w:type="dxa" w:w="4535"/>
            <w:shd w:val="clear" w:color="auto" w:fill="F4F7F6"/>
          </w:tcPr>
          <w:p>
            <w:pPr>
              <w:spacing w:after="20" w:before="20"/>
            </w:pPr>
            <w:r/>
            <w:r>
              <w:rPr>
                <w:b/>
                <w:color w:val="222A33"/>
                <w:sz w:val="17"/>
              </w:rPr>
              <w:t>People &amp; HR · electronic signing for minutes</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r>
      <w:tr>
        <w:tc>
          <w:tcPr>
            <w:tcW w:type="dxa" w:w="4535"/>
          </w:tcPr>
          <w:p>
            <w:pPr>
              <w:spacing w:after="20" w:before="20"/>
            </w:pPr>
            <w:r/>
            <w:r>
              <w:rPr>
                <w:b/>
                <w:color w:val="222A33"/>
                <w:sz w:val="17"/>
              </w:rPr>
              <w:t>AI Compliance Assistant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r>
      <w:tr>
        <w:tc>
          <w:tcPr>
            <w:tcW w:type="dxa" w:w="4535"/>
            <w:shd w:val="clear" w:color="auto" w:fill="F4F7F6"/>
          </w:tcPr>
          <w:p>
            <w:pPr>
              <w:spacing w:after="20" w:before="20"/>
            </w:pPr>
            <w:r/>
            <w:r>
              <w:rPr>
                <w:b/>
                <w:color w:val="222A33"/>
                <w:sz w:val="17"/>
              </w:rPr>
              <w:t>Supplier, systems (IT) &amp; insurance registers</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r>
      <w:tr>
        <w:tc>
          <w:tcPr>
            <w:tcW w:type="dxa" w:w="4535"/>
          </w:tcPr>
          <w:p>
            <w:pPr>
              <w:spacing w:after="20" w:before="20"/>
            </w:pPr>
            <w:r/>
            <w:r>
              <w:rPr>
                <w:b/>
                <w:color w:val="222A33"/>
                <w:sz w:val="17"/>
              </w:rPr>
              <w:t>Multi-entity management &amp; custom workflow builder</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r>
      <w:tr>
        <w:tc>
          <w:tcPr>
            <w:tcW w:type="dxa" w:w="4535"/>
            <w:shd w:val="clear" w:color="auto" w:fill="F4F7F6"/>
          </w:tcPr>
          <w:p>
            <w:pPr>
              <w:spacing w:after="20" w:before="20"/>
            </w:pPr>
            <w:r/>
            <w:r>
              <w:rPr>
                <w:b/>
                <w:color w:val="222A33"/>
                <w:sz w:val="17"/>
              </w:rPr>
              <w:t>Business continuity plan &amp; shared credential vault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r>
      <w:tr>
        <w:tc>
          <w:tcPr>
            <w:tcW w:type="dxa" w:w="4535"/>
          </w:tcPr>
          <w:p>
            <w:pPr>
              <w:spacing w:after="20" w:before="20"/>
            </w:pPr>
            <w:r/>
            <w:r>
              <w:rPr>
                <w:b/>
                <w:color w:val="222A33"/>
                <w:sz w:val="17"/>
              </w:rPr>
              <w:t>Regulatory change monitoring</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r>
      <w:tr>
        <w:tc>
          <w:tcPr>
            <w:tcW w:type="dxa" w:w="4535"/>
            <w:shd w:val="clear" w:color="auto" w:fill="F4F7F6"/>
          </w:tcPr>
          <w:p>
            <w:pPr>
              <w:spacing w:after="20" w:before="20"/>
            </w:pPr>
            <w:r/>
            <w:r>
              <w:rPr>
                <w:b/>
                <w:color w:val="222A33"/>
                <w:sz w:val="17"/>
              </w:rPr>
              <w:t>Single sign-on (SSO/SCIM), developer API &amp; webhooks</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r>
      <w:tr>
        <w:tc>
          <w:tcPr>
            <w:tcW w:type="dxa" w:w="4535"/>
          </w:tcPr>
          <w:p>
            <w:pPr>
              <w:spacing w:after="20" w:before="20"/>
            </w:pPr>
            <w:r/>
            <w:r>
              <w:rPr>
                <w:b/>
                <w:color w:val="222A33"/>
                <w:sz w:val="17"/>
              </w:rPr>
              <w:t>White-label branding &amp; choice of data region</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r>
      <w:tr>
        <w:tc>
          <w:tcPr>
            <w:tcW w:type="dxa" w:w="4535"/>
            <w:shd w:val="clear" w:color="auto" w:fill="F4F7F6"/>
          </w:tcPr>
          <w:p>
            <w:pPr>
              <w:spacing w:after="20" w:before="20"/>
            </w:pPr>
            <w:r/>
            <w:r>
              <w:rPr>
                <w:b/>
                <w:color w:val="222A33"/>
                <w:sz w:val="17"/>
              </w:rPr>
              <w:t>ISO 27001 / SOC 2 evidence pack</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c>
          <w:tcPr>
            <w:tcW w:type="dxa" w:w="1276"/>
            <w:shd w:val="clear" w:color="auto" w:fill="F4F7F6"/>
          </w:tcPr>
          <w:p>
            <w:pPr>
              <w:spacing w:after="20" w:before="20"/>
              <w:jc w:val="center"/>
            </w:pPr>
            <w:r/>
            <w:r>
              <w:rPr>
                <w:b w:val="0"/>
                <w:color w:val="222A33"/>
                <w:sz w:val="17"/>
              </w:rPr>
              <w:t>✓</w:t>
            </w:r>
          </w:p>
        </w:tc>
      </w:tr>
      <w:tr>
        <w:tc>
          <w:tcPr>
            <w:tcW w:type="dxa" w:w="4535"/>
          </w:tcPr>
          <w:p>
            <w:pPr>
              <w:spacing w:after="20" w:before="20"/>
            </w:pPr>
            <w:r/>
            <w:r>
              <w:rPr>
                <w:b/>
                <w:color w:val="222A33"/>
                <w:sz w:val="17"/>
              </w:rPr>
              <w:t>Dedicated success manager &amp; 99.9% uptime guarantee</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c>
          <w:tcPr>
            <w:tcW w:type="dxa" w:w="1276"/>
          </w:tcPr>
          <w:p>
            <w:pPr>
              <w:spacing w:after="20" w:before="20"/>
              <w:jc w:val="center"/>
            </w:pPr>
            <w:r/>
            <w:r>
              <w:rPr>
                <w:b w:val="0"/>
                <w:color w:val="222A33"/>
                <w:sz w:val="17"/>
              </w:rPr>
              <w:t>✓</w:t>
            </w:r>
          </w:p>
        </w:tc>
      </w:tr>
    </w:tbl>
    <w:p>
      <w:pPr>
        <w:spacing w:after="40"/>
      </w:pPr>
      <w:r>
        <w:rPr>
          <w:b w:val="0"/>
          <w:i/>
          <w:color w:val="5A6675"/>
          <w:sz w:val="19"/>
        </w:rPr>
        <w:t>Newer fundraising, delivery, marketing and engagement modules are included from Growth upward, so the right tools sit with the charities that use them most.</w:t>
      </w:r>
    </w:p>
    <w:p>
      <w:pPr>
        <w:spacing w:before="240" w:after="80"/>
        <w:pBdr>
          <w:bottom w:val="single" w:sz="12" w:space="3" w:color="1F8A7E"/>
        </w:pBdr>
      </w:pPr>
      <w:r>
        <w:rPr>
          <w:b/>
          <w:color w:val="0B2545"/>
          <w:sz w:val="27"/>
        </w:rPr>
        <w:t>6.  Add-ons &amp; extras</w:t>
      </w:r>
    </w:p>
    <w:p>
      <w:pPr>
        <w:pStyle w:val="ListBullet"/>
        <w:spacing w:after="40" w:line="264" w:lineRule="auto"/>
      </w:pPr>
      <w:r>
        <w:rPr>
          <w:b/>
        </w:rPr>
        <w:t xml:space="preserve">Mobile App —  </w:t>
      </w:r>
      <w:r>
        <w:rPr>
          <w:sz w:val="21"/>
        </w:rPr>
        <w:t>available to Foundation customers as an add-on (suggested $99 / month) so the smallest teams can work on the go without moving up a full plan. Included at no extra cost from Growth upward.</w:t>
      </w:r>
    </w:p>
    <w:p>
      <w:pPr>
        <w:pStyle w:val="ListBullet"/>
        <w:spacing w:after="40" w:line="264" w:lineRule="auto"/>
      </w:pPr>
      <w:r>
        <w:rPr>
          <w:b/>
        </w:rPr>
        <w:t xml:space="preserve">Policy Template Marketplace —  </w:t>
      </w:r>
      <w:r>
        <w:rPr>
          <w:sz w:val="21"/>
        </w:rPr>
        <w:t>purchase individual, ready-to-use policy templates as a one-off, on any plan — a fast way to fill a gap in your policy library.</w:t>
      </w:r>
    </w:p>
    <w:p>
      <w:pPr>
        <w:spacing w:before="240" w:after="80"/>
        <w:pBdr>
          <w:bottom w:val="single" w:sz="12" w:space="3" w:color="1F8A7E"/>
        </w:pBdr>
      </w:pPr>
      <w:r>
        <w:rPr>
          <w:b/>
          <w:color w:val="0B2545"/>
          <w:sz w:val="27"/>
        </w:rPr>
        <w:t>7.  Summary</w:t>
      </w:r>
    </w:p>
    <w:p>
      <w:pPr>
        <w:spacing w:after="100"/>
      </w:pPr>
      <w:r>
        <w:rPr>
          <w:b w:val="0"/>
          <w:i w:val="0"/>
          <w:color w:val="222A33"/>
          <w:sz w:val="21"/>
        </w:rPr>
        <w:t>The updated line-up keeps Foundation as an accessible entry point, introduces Growth for charities that are scaling their fundraising and delivery, and preserves Professional and Enterprise for organisations that need the full finance, people and enterprise toolset. The new mobile app, team chat, fundraising, delivery and marketing capabilities give every plan more value — and give customers a clear reason to grow with Stewardex.</w:t>
      </w:r>
    </w:p>
    <w:p>
      <w:pPr>
        <w:spacing w:before="200"/>
        <w:jc w:val="center"/>
      </w:pPr>
      <w:r>
        <w:rPr>
          <w:color w:val="5A6675"/>
          <w:sz w:val="16"/>
        </w:rPr>
        <w:t>Stewardex · Plans &amp; Pricing · Prices in AUD, excl. GST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libri" w:hAnsi="Calibri"/>
      <w:color w:val="22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